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rPr>
          <w:rFonts w:ascii="Times New Roman" w:hAnsi="Times New Roman" w:cs="Times New Roman"/>
        </w:rPr>
      </w:pPr>
    </w:p>
    <w:p>
      <w:pPr>
        <w:spacing w:line="360" w:lineRule="auto"/>
        <w:jc w:val="center"/>
        <w:rPr>
          <w:rFonts w:ascii="Times New Roman" w:hAnsi="Times New Roman" w:eastAsia="华文新魏" w:cs="Times New Roman"/>
          <w:b/>
          <w:sz w:val="48"/>
          <w:szCs w:val="48"/>
        </w:rPr>
      </w:pPr>
    </w:p>
    <w:p>
      <w:pPr>
        <w:spacing w:line="360" w:lineRule="auto"/>
        <w:jc w:val="center"/>
        <w:rPr>
          <w:rFonts w:ascii="Times New Roman" w:hAnsi="Times New Roman" w:eastAsia="华文新魏" w:cs="Times New Roman"/>
          <w:b/>
          <w:sz w:val="48"/>
          <w:szCs w:val="48"/>
        </w:rPr>
      </w:pPr>
    </w:p>
    <w:p>
      <w:pPr>
        <w:spacing w:line="360" w:lineRule="auto"/>
        <w:jc w:val="center"/>
        <w:rPr>
          <w:rFonts w:hint="eastAsia" w:ascii="Times New Roman" w:hAnsi="Times New Roman" w:eastAsia="华文新魏" w:cs="Times New Roman"/>
          <w:b/>
          <w:sz w:val="48"/>
          <w:szCs w:val="48"/>
        </w:rPr>
      </w:pPr>
      <w:r>
        <w:rPr>
          <w:rFonts w:hint="eastAsia" w:ascii="Times New Roman" w:hAnsi="Times New Roman" w:eastAsia="华文新魏" w:cs="Times New Roman"/>
          <w:b/>
          <w:sz w:val="48"/>
          <w:szCs w:val="48"/>
        </w:rPr>
        <w:t>废水处理及中水回用系统扩能改造项目</w:t>
      </w:r>
    </w:p>
    <w:p>
      <w:pPr>
        <w:spacing w:line="360" w:lineRule="auto"/>
        <w:jc w:val="center"/>
        <w:rPr>
          <w:rFonts w:ascii="Times New Roman" w:hAnsi="Times New Roman" w:eastAsia="华文新魏" w:cs="Times New Roman"/>
          <w:b/>
          <w:sz w:val="48"/>
          <w:szCs w:val="48"/>
        </w:rPr>
      </w:pPr>
      <w:r>
        <w:rPr>
          <w:rFonts w:ascii="Times New Roman" w:hAnsi="Times New Roman" w:eastAsia="华文新魏" w:cs="Times New Roman"/>
          <w:b/>
          <w:sz w:val="48"/>
          <w:szCs w:val="48"/>
        </w:rPr>
        <w:t>竣工环境保护验收监测报告</w:t>
      </w:r>
    </w:p>
    <w:p>
      <w:pPr>
        <w:spacing w:line="360" w:lineRule="auto"/>
        <w:jc w:val="center"/>
        <w:rPr>
          <w:rFonts w:hint="eastAsia" w:ascii="Times New Roman" w:hAnsi="Times New Roman" w:eastAsia="华文新魏" w:cs="Times New Roman"/>
          <w:b/>
          <w:sz w:val="48"/>
          <w:szCs w:val="48"/>
          <w:lang w:eastAsia="zh-CN"/>
        </w:rPr>
      </w:pPr>
      <w:r>
        <w:rPr>
          <w:rFonts w:hint="eastAsia" w:ascii="Times New Roman" w:hAnsi="Times New Roman" w:eastAsia="华文新魏" w:cs="Times New Roman"/>
          <w:b/>
          <w:sz w:val="48"/>
          <w:szCs w:val="48"/>
          <w:lang w:eastAsia="zh-CN"/>
        </w:rPr>
        <w:t>（废气、废水）</w:t>
      </w:r>
    </w:p>
    <w:p>
      <w:pPr>
        <w:spacing w:line="360" w:lineRule="auto"/>
        <w:jc w:val="center"/>
        <w:rPr>
          <w:rFonts w:hint="eastAsia" w:ascii="Times New Roman" w:hAnsi="Times New Roman" w:eastAsia="仿宋_GB2312" w:cs="Times New Roman"/>
          <w:sz w:val="28"/>
          <w:lang w:val="en-US" w:eastAsia="zh-CN"/>
        </w:rPr>
      </w:pPr>
    </w:p>
    <w:p>
      <w:pPr>
        <w:jc w:val="center"/>
        <w:rPr>
          <w:rFonts w:ascii="Times New Roman" w:hAnsi="Times New Roman" w:eastAsia="仿宋_GB2312" w:cs="Times New Roman"/>
          <w:sz w:val="28"/>
        </w:rPr>
      </w:pPr>
    </w:p>
    <w:p>
      <w:pPr>
        <w:rPr>
          <w:rFonts w:ascii="Times New Roman" w:hAnsi="Times New Roman" w:eastAsia="仿宋_GB2312" w:cs="Times New Roman"/>
          <w:sz w:val="28"/>
        </w:rPr>
      </w:pPr>
    </w:p>
    <w:p>
      <w:pPr>
        <w:rPr>
          <w:rFonts w:ascii="Times New Roman" w:hAnsi="Times New Roman" w:eastAsia="仿宋_GB2312" w:cs="Times New Roman"/>
          <w:sz w:val="28"/>
        </w:rPr>
      </w:pPr>
      <w:r>
        <w:rPr>
          <w:rFonts w:ascii="Times New Roman" w:hAnsi="Times New Roman" w:eastAsia="仿宋_GB2312" w:cs="Times New Roman"/>
          <w:sz w:val="28"/>
        </w:rPr>
        <w:tab/>
      </w:r>
      <w:r>
        <w:rPr>
          <w:rFonts w:ascii="Times New Roman" w:hAnsi="Times New Roman" w:eastAsia="仿宋_GB2312" w:cs="Times New Roman"/>
          <w:sz w:val="28"/>
        </w:rPr>
        <w:tab/>
      </w:r>
    </w:p>
    <w:p>
      <w:pPr>
        <w:rPr>
          <w:rFonts w:ascii="Times New Roman" w:hAnsi="Times New Roman" w:eastAsia="仿宋_GB2312" w:cs="Times New Roman"/>
          <w:sz w:val="28"/>
        </w:rPr>
      </w:pPr>
    </w:p>
    <w:p>
      <w:pPr>
        <w:rPr>
          <w:rFonts w:ascii="Times New Roman" w:hAnsi="Times New Roman" w:eastAsia="仿宋_GB2312" w:cs="Times New Roman"/>
          <w:sz w:val="28"/>
        </w:rPr>
      </w:pPr>
      <w:r>
        <w:rPr>
          <w:rFonts w:ascii="Times New Roman" w:hAnsi="Times New Roman" w:eastAsia="仿宋_GB2312" w:cs="Times New Roman"/>
          <w:sz w:val="28"/>
        </w:rPr>
        <w:tab/>
      </w:r>
    </w:p>
    <w:p>
      <w:pPr>
        <w:spacing w:line="360" w:lineRule="auto"/>
        <w:rPr>
          <w:rFonts w:ascii="Times New Roman" w:hAnsi="Times New Roman" w:eastAsia="仿宋_GB2312" w:cs="Times New Roman"/>
          <w:sz w:val="28"/>
        </w:rPr>
      </w:pPr>
      <w:r>
        <w:rPr>
          <w:rFonts w:ascii="Times New Roman" w:hAnsi="Times New Roman" w:eastAsia="仿宋_GB2312" w:cs="Times New Roman"/>
          <w:sz w:val="28"/>
        </w:rPr>
        <w:tab/>
      </w:r>
      <w:r>
        <w:rPr>
          <w:rFonts w:ascii="Times New Roman" w:hAnsi="Times New Roman" w:eastAsia="仿宋_GB2312" w:cs="Times New Roman"/>
          <w:sz w:val="28"/>
        </w:rPr>
        <w:tab/>
      </w:r>
    </w:p>
    <w:p>
      <w:pPr>
        <w:pStyle w:val="5"/>
        <w:rPr>
          <w:rFonts w:ascii="Times New Roman" w:hAnsi="Times New Roman" w:eastAsia="仿宋_GB2312" w:cs="Times New Roman"/>
        </w:rPr>
      </w:pPr>
    </w:p>
    <w:p>
      <w:pPr>
        <w:rPr>
          <w:rFonts w:ascii="Times New Roman" w:hAnsi="Times New Roman" w:cs="Times New Roman"/>
        </w:rPr>
      </w:pPr>
    </w:p>
    <w:p>
      <w:pPr>
        <w:spacing w:line="360" w:lineRule="auto"/>
        <w:rPr>
          <w:rFonts w:ascii="Times New Roman" w:hAnsi="Times New Roman" w:eastAsia="仿宋_GB2312" w:cs="Times New Roman"/>
          <w:sz w:val="28"/>
        </w:rPr>
      </w:pPr>
    </w:p>
    <w:p>
      <w:pPr>
        <w:spacing w:line="360" w:lineRule="auto"/>
        <w:ind w:firstLine="840" w:firstLineChars="300"/>
        <w:rPr>
          <w:rFonts w:ascii="Times New Roman" w:hAnsi="Times New Roman" w:eastAsia="华文新魏" w:cs="Times New Roman"/>
          <w:sz w:val="28"/>
        </w:rPr>
      </w:pPr>
      <w:r>
        <w:rPr>
          <w:rFonts w:ascii="Times New Roman" w:hAnsi="Times New Roman" w:eastAsia="华文新魏" w:cs="Times New Roman"/>
          <w:sz w:val="28"/>
        </w:rPr>
        <w:t>建设单位：渭南高新区渭河洁能有限公司</w:t>
      </w:r>
    </w:p>
    <w:p>
      <w:pPr>
        <w:spacing w:line="360" w:lineRule="auto"/>
        <w:ind w:firstLine="840" w:firstLineChars="300"/>
        <w:rPr>
          <w:rFonts w:ascii="Times New Roman" w:hAnsi="Times New Roman" w:eastAsia="华文新魏" w:cs="Times New Roman"/>
          <w:sz w:val="28"/>
        </w:rPr>
      </w:pPr>
      <w:r>
        <w:rPr>
          <w:rFonts w:ascii="Times New Roman" w:hAnsi="Times New Roman" w:eastAsia="华文新魏" w:cs="Times New Roman"/>
          <w:sz w:val="28"/>
        </w:rPr>
        <w:t>编制单位：陕西</w:t>
      </w:r>
      <w:r>
        <w:rPr>
          <w:rFonts w:hint="eastAsia" w:ascii="Times New Roman" w:hAnsi="Times New Roman" w:eastAsia="华文新魏" w:cs="Times New Roman"/>
          <w:sz w:val="28"/>
          <w:lang w:eastAsia="zh-CN"/>
        </w:rPr>
        <w:t>天宜建设环境工程监理有限公司</w:t>
      </w:r>
      <w:r>
        <w:rPr>
          <w:rFonts w:ascii="Times New Roman" w:hAnsi="Times New Roman" w:eastAsia="华文新魏" w:cs="Times New Roman"/>
          <w:sz w:val="28"/>
        </w:rPr>
        <w:t xml:space="preserve"> </w:t>
      </w:r>
    </w:p>
    <w:p>
      <w:pPr>
        <w:rPr>
          <w:rFonts w:ascii="Times New Roman" w:hAnsi="Times New Roman" w:eastAsia="仿宋_GB2312" w:cs="Times New Roman"/>
          <w:sz w:val="28"/>
        </w:rPr>
      </w:pPr>
    </w:p>
    <w:p>
      <w:pPr>
        <w:jc w:val="center"/>
        <w:rPr>
          <w:rFonts w:ascii="Times New Roman" w:hAnsi="Times New Roman" w:eastAsia="华文新魏" w:cs="Times New Roman"/>
          <w:b/>
          <w:sz w:val="30"/>
        </w:rPr>
      </w:pPr>
    </w:p>
    <w:p>
      <w:pPr>
        <w:jc w:val="center"/>
        <w:rPr>
          <w:rFonts w:ascii="Times New Roman" w:hAnsi="Times New Roman" w:eastAsia="华文新魏" w:cs="Times New Roman"/>
          <w:b/>
          <w:sz w:val="30"/>
        </w:rPr>
      </w:pPr>
    </w:p>
    <w:p>
      <w:pPr>
        <w:jc w:val="center"/>
        <w:rPr>
          <w:rFonts w:ascii="Times New Roman" w:hAnsi="Times New Roman" w:eastAsia="华文新魏" w:cs="Times New Roman"/>
          <w:b/>
          <w:sz w:val="30"/>
        </w:rPr>
      </w:pPr>
    </w:p>
    <w:p>
      <w:pPr>
        <w:jc w:val="center"/>
        <w:rPr>
          <w:rFonts w:ascii="Times New Roman" w:hAnsi="Times New Roman" w:eastAsia="华文新魏" w:cs="Times New Roman"/>
          <w:sz w:val="28"/>
        </w:rPr>
      </w:pPr>
      <w:r>
        <w:rPr>
          <w:rFonts w:ascii="Times New Roman" w:hAnsi="Times New Roman" w:eastAsia="华文新魏" w:cs="Times New Roman"/>
          <w:b/>
          <w:sz w:val="30"/>
        </w:rPr>
        <w:t>2018</w:t>
      </w:r>
      <w:r>
        <w:rPr>
          <w:rFonts w:ascii="Times New Roman" w:hAnsi="Times New Roman" w:eastAsia="华文新魏" w:cs="Times New Roman"/>
          <w:sz w:val="28"/>
        </w:rPr>
        <w:t>年</w:t>
      </w:r>
      <w:r>
        <w:rPr>
          <w:rFonts w:hint="eastAsia" w:ascii="Times New Roman" w:hAnsi="Times New Roman" w:eastAsia="华文新魏" w:cs="Times New Roman"/>
          <w:b/>
          <w:sz w:val="30"/>
          <w:lang w:val="en-US" w:eastAsia="zh-CN"/>
        </w:rPr>
        <w:t>11</w:t>
      </w:r>
      <w:r>
        <w:rPr>
          <w:rFonts w:ascii="Times New Roman" w:hAnsi="Times New Roman" w:eastAsia="华文新魏" w:cs="Times New Roman"/>
          <w:sz w:val="28"/>
        </w:rPr>
        <w:t>月</w:t>
      </w:r>
    </w:p>
    <w:p>
      <w:pPr>
        <w:pStyle w:val="5"/>
        <w:rPr>
          <w:rFonts w:ascii="Times New Roman" w:hAnsi="Times New Roman" w:cs="Times New Roman"/>
        </w:rPr>
      </w:pPr>
      <w:r>
        <w:rPr>
          <w:rFonts w:ascii="Times New Roman" w:hAnsi="Times New Roman" w:cs="Times New Roman"/>
        </w:rPr>
        <w:br w:type="page"/>
      </w:r>
    </w:p>
    <w:p>
      <w:pPr>
        <w:rPr>
          <w:rFonts w:ascii="Times New Roman" w:hAnsi="Times New Roman" w:cs="Times New Roman"/>
        </w:rPr>
      </w:pP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sz w:val="32"/>
        </w:rPr>
      </w:pPr>
      <w:r>
        <w:rPr>
          <w:rFonts w:ascii="Times New Roman" w:hAnsi="Times New Roman" w:eastAsia="仿宋_GB2312" w:cs="Times New Roman"/>
          <w:b/>
          <w:sz w:val="28"/>
        </w:rPr>
        <w:t>建设单位法人代表:</w:t>
      </w:r>
      <w:r>
        <w:rPr>
          <w:rFonts w:ascii="Times New Roman" w:hAnsi="Times New Roman" w:eastAsia="仿宋_GB2312" w:cs="Times New Roman"/>
          <w:sz w:val="28"/>
        </w:rPr>
        <w:tab/>
      </w:r>
      <w:r>
        <w:rPr>
          <w:rFonts w:ascii="Times New Roman" w:hAnsi="Times New Roman" w:eastAsia="仿宋_GB2312" w:cs="Times New Roman"/>
          <w:sz w:val="28"/>
        </w:rPr>
        <w:t xml:space="preserve">          （签字）</w:t>
      </w:r>
    </w:p>
    <w:p>
      <w:pPr>
        <w:spacing w:line="360" w:lineRule="auto"/>
        <w:rPr>
          <w:rFonts w:ascii="Times New Roman" w:hAnsi="Times New Roman" w:eastAsia="仿宋_GB2312" w:cs="Times New Roman"/>
          <w:sz w:val="28"/>
        </w:rPr>
      </w:pPr>
      <w:r>
        <w:rPr>
          <w:rFonts w:ascii="Times New Roman" w:hAnsi="Times New Roman" w:eastAsia="仿宋_GB2312" w:cs="Times New Roman"/>
          <w:b/>
          <w:sz w:val="28"/>
        </w:rPr>
        <w:t>编制单位法人代表:</w:t>
      </w:r>
      <w:r>
        <w:rPr>
          <w:rFonts w:ascii="Times New Roman" w:hAnsi="Times New Roman" w:eastAsia="仿宋_GB2312" w:cs="Times New Roman"/>
          <w:sz w:val="28"/>
        </w:rPr>
        <w:tab/>
      </w:r>
      <w:r>
        <w:rPr>
          <w:rFonts w:ascii="Times New Roman" w:hAnsi="Times New Roman" w:eastAsia="仿宋_GB2312" w:cs="Times New Roman"/>
          <w:sz w:val="28"/>
        </w:rPr>
        <w:t xml:space="preserve">          （签字）</w:t>
      </w:r>
    </w:p>
    <w:p>
      <w:pPr>
        <w:spacing w:line="360" w:lineRule="auto"/>
        <w:rPr>
          <w:rFonts w:ascii="Times New Roman" w:hAnsi="Times New Roman" w:eastAsia="仿宋_GB2312" w:cs="Times New Roman"/>
          <w:b/>
          <w:spacing w:val="2"/>
          <w:w w:val="79"/>
          <w:sz w:val="28"/>
        </w:rPr>
      </w:pPr>
      <w:r>
        <w:rPr>
          <w:rFonts w:ascii="Times New Roman" w:hAnsi="Times New Roman" w:eastAsia="仿宋_GB2312" w:cs="Times New Roman"/>
          <w:b/>
          <w:spacing w:val="10"/>
          <w:w w:val="79"/>
          <w:sz w:val="28"/>
        </w:rPr>
        <w:t>项  目  负  责  人</w:t>
      </w:r>
      <w:r>
        <w:rPr>
          <w:rFonts w:ascii="Times New Roman" w:hAnsi="Times New Roman" w:eastAsia="仿宋_GB2312" w:cs="Times New Roman"/>
          <w:b/>
          <w:spacing w:val="7"/>
          <w:w w:val="79"/>
          <w:sz w:val="28"/>
        </w:rPr>
        <w:t>:</w:t>
      </w:r>
    </w:p>
    <w:p>
      <w:pPr>
        <w:spacing w:line="360" w:lineRule="auto"/>
        <w:rPr>
          <w:rFonts w:ascii="Times New Roman" w:hAnsi="Times New Roman" w:eastAsia="仿宋_GB2312" w:cs="Times New Roman"/>
          <w:b/>
          <w:w w:val="88"/>
          <w:sz w:val="28"/>
        </w:rPr>
      </w:pPr>
      <w:r>
        <w:rPr>
          <w:rFonts w:ascii="Times New Roman" w:hAnsi="Times New Roman" w:eastAsia="仿宋_GB2312" w:cs="Times New Roman"/>
          <w:b/>
          <w:spacing w:val="2"/>
          <w:w w:val="79"/>
          <w:sz w:val="28"/>
        </w:rPr>
        <w:t>报  告   编  写   人：</w:t>
      </w: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b/>
          <w:sz w:val="28"/>
        </w:rPr>
      </w:pPr>
    </w:p>
    <w:p>
      <w:pPr>
        <w:spacing w:line="360" w:lineRule="auto"/>
        <w:rPr>
          <w:rFonts w:ascii="Times New Roman" w:hAnsi="Times New Roman" w:eastAsia="仿宋_GB2312" w:cs="Times New Roman"/>
          <w:sz w:val="28"/>
        </w:rPr>
      </w:pPr>
    </w:p>
    <w:p>
      <w:pPr>
        <w:spacing w:line="360" w:lineRule="auto"/>
        <w:rPr>
          <w:rFonts w:ascii="Times New Roman" w:hAnsi="Times New Roman" w:eastAsia="仿宋_GB2312" w:cs="Times New Roman"/>
          <w:sz w:val="28"/>
        </w:rPr>
      </w:pPr>
    </w:p>
    <w:p>
      <w:pPr>
        <w:spacing w:line="360" w:lineRule="auto"/>
        <w:rPr>
          <w:rFonts w:ascii="Times New Roman" w:hAnsi="Times New Roman" w:eastAsia="仿宋_GB2312" w:cs="Times New Roman"/>
          <w:sz w:val="28"/>
        </w:rPr>
      </w:pPr>
    </w:p>
    <w:p>
      <w:pPr>
        <w:pStyle w:val="5"/>
        <w:rPr>
          <w:rFonts w:ascii="Times New Roman" w:hAnsi="Times New Roman" w:eastAsia="仿宋_GB2312" w:cs="Times New Roman"/>
        </w:rPr>
      </w:pPr>
    </w:p>
    <w:p>
      <w:pPr>
        <w:rPr>
          <w:rFonts w:ascii="Times New Roman" w:hAnsi="Times New Roman" w:cs="Times New Roman"/>
        </w:rPr>
      </w:pPr>
    </w:p>
    <w:p>
      <w:pPr>
        <w:spacing w:line="360" w:lineRule="auto"/>
        <w:rPr>
          <w:rFonts w:ascii="Times New Roman" w:hAnsi="Times New Roman" w:eastAsia="仿宋_GB2312" w:cs="Times New Roman"/>
          <w:sz w:val="28"/>
        </w:rPr>
      </w:pPr>
    </w:p>
    <w:p>
      <w:pPr>
        <w:spacing w:line="360" w:lineRule="auto"/>
        <w:rPr>
          <w:rFonts w:ascii="Times New Roman" w:hAnsi="Times New Roman" w:eastAsia="仿宋_GB2312" w:cs="Times New Roman"/>
          <w:sz w:val="28"/>
        </w:rPr>
      </w:pPr>
    </w:p>
    <w:p>
      <w:pPr>
        <w:spacing w:line="360" w:lineRule="auto"/>
        <w:rPr>
          <w:rFonts w:hint="eastAsia" w:ascii="Times New Roman" w:hAnsi="Times New Roman" w:eastAsia="仿宋_GB2312" w:cs="Times New Roman"/>
          <w:sz w:val="28"/>
          <w:lang w:eastAsia="zh-CN"/>
        </w:rPr>
      </w:pPr>
      <w:r>
        <w:rPr>
          <w:rFonts w:ascii="Times New Roman" w:hAnsi="Times New Roman" w:eastAsia="仿宋_GB2312" w:cs="Times New Roman"/>
          <w:sz w:val="28"/>
        </w:rPr>
        <w:t>建设单位：渭南高新区渭河洁能</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编制单位：</w:t>
      </w:r>
      <w:r>
        <w:rPr>
          <w:rFonts w:hint="eastAsia" w:ascii="Times New Roman" w:hAnsi="Times New Roman" w:eastAsia="仿宋_GB2312" w:cs="Times New Roman"/>
          <w:sz w:val="28"/>
          <w:lang w:eastAsia="zh-CN"/>
        </w:rPr>
        <w:t>陕西天宜建设环境工程监理</w:t>
      </w:r>
    </w:p>
    <w:p>
      <w:pPr>
        <w:spacing w:line="360" w:lineRule="auto"/>
        <w:ind w:firstLine="1400" w:firstLineChars="500"/>
        <w:rPr>
          <w:rFonts w:ascii="Times New Roman" w:hAnsi="Times New Roman" w:eastAsia="仿宋_GB2312" w:cs="Times New Roman"/>
          <w:sz w:val="28"/>
        </w:rPr>
      </w:pPr>
      <w:r>
        <w:rPr>
          <w:rFonts w:ascii="Times New Roman" w:hAnsi="Times New Roman" w:eastAsia="仿宋_GB2312" w:cs="Times New Roman"/>
          <w:sz w:val="28"/>
        </w:rPr>
        <w:t>有限公司 （盖章）</w:t>
      </w:r>
      <w:r>
        <w:rPr>
          <w:rFonts w:hint="eastAsia" w:ascii="Times New Roman" w:hAnsi="Times New Roman" w:eastAsia="仿宋_GB2312" w:cs="Times New Roman"/>
          <w:sz w:val="28"/>
          <w:lang w:val="en-US" w:eastAsia="zh-CN"/>
        </w:rPr>
        <w:t xml:space="preserve">            有限</w:t>
      </w:r>
      <w:r>
        <w:rPr>
          <w:rFonts w:ascii="Times New Roman" w:hAnsi="Times New Roman" w:eastAsia="仿宋_GB2312" w:cs="Times New Roman"/>
          <w:sz w:val="28"/>
        </w:rPr>
        <w:t>公司（盖章）</w:t>
      </w:r>
    </w:p>
    <w:p>
      <w:pPr>
        <w:spacing w:line="360" w:lineRule="auto"/>
        <w:rPr>
          <w:rFonts w:ascii="Times New Roman" w:hAnsi="Times New Roman" w:eastAsia="仿宋_GB2312" w:cs="Times New Roman"/>
          <w:sz w:val="28"/>
        </w:rPr>
      </w:pPr>
      <w:r>
        <w:rPr>
          <w:rFonts w:ascii="Times New Roman" w:hAnsi="Times New Roman" w:eastAsia="仿宋_GB2312" w:cs="Times New Roman"/>
          <w:sz w:val="28"/>
        </w:rPr>
        <w:t xml:space="preserve">                    </w:t>
      </w:r>
    </w:p>
    <w:p>
      <w:pPr>
        <w:spacing w:line="360" w:lineRule="auto"/>
        <w:rPr>
          <w:rFonts w:ascii="Times New Roman" w:hAnsi="Times New Roman" w:eastAsia="仿宋_GB2312" w:cs="Times New Roman"/>
          <w:sz w:val="28"/>
        </w:rPr>
      </w:pPr>
      <w:r>
        <w:rPr>
          <w:rFonts w:ascii="Times New Roman" w:hAnsi="Times New Roman" w:eastAsia="仿宋_GB2312" w:cs="Times New Roman"/>
          <w:sz w:val="28"/>
        </w:rPr>
        <w:t>电话:</w:t>
      </w:r>
      <w:r>
        <w:rPr>
          <w:rFonts w:hint="eastAsia" w:ascii="Times New Roman" w:hAnsi="Times New Roman" w:eastAsia="仿宋_GB2312" w:cs="Times New Roman"/>
          <w:sz w:val="28"/>
          <w:lang w:val="en-US" w:eastAsia="zh-CN"/>
        </w:rPr>
        <w:t>15991396639</w:t>
      </w:r>
      <w:r>
        <w:rPr>
          <w:rFonts w:ascii="Times New Roman" w:hAnsi="Times New Roman" w:eastAsia="仿宋_GB2312" w:cs="Times New Roman"/>
          <w:sz w:val="28"/>
        </w:rPr>
        <w:t xml:space="preserve">               </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电话:</w:t>
      </w:r>
      <w:r>
        <w:rPr>
          <w:rFonts w:hint="eastAsia" w:ascii="Times New Roman" w:hAnsi="Times New Roman" w:eastAsia="仿宋_GB2312" w:cs="Times New Roman"/>
          <w:sz w:val="28"/>
          <w:lang w:val="en-US" w:eastAsia="zh-CN"/>
        </w:rPr>
        <w:t>13892829622</w:t>
      </w:r>
      <w:r>
        <w:rPr>
          <w:rFonts w:ascii="Times New Roman" w:hAnsi="Times New Roman" w:eastAsia="仿宋_GB2312" w:cs="Times New Roman"/>
          <w:sz w:val="28"/>
        </w:rPr>
        <w:t xml:space="preserve"> </w:t>
      </w:r>
    </w:p>
    <w:p>
      <w:pPr>
        <w:spacing w:line="360" w:lineRule="auto"/>
        <w:rPr>
          <w:rFonts w:ascii="Times New Roman" w:hAnsi="Times New Roman" w:eastAsia="仿宋_GB2312" w:cs="Times New Roman"/>
          <w:sz w:val="28"/>
        </w:rPr>
      </w:pPr>
      <w:r>
        <w:rPr>
          <w:rFonts w:ascii="Times New Roman" w:hAnsi="Times New Roman" w:eastAsia="仿宋_GB2312" w:cs="Times New Roman"/>
          <w:sz w:val="28"/>
        </w:rPr>
        <w:t xml:space="preserve">传真:/                         </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传真:029-89131021</w:t>
      </w:r>
    </w:p>
    <w:p>
      <w:pPr>
        <w:spacing w:line="360" w:lineRule="auto"/>
        <w:rPr>
          <w:rFonts w:ascii="Times New Roman" w:hAnsi="Times New Roman" w:eastAsia="仿宋_GB2312" w:cs="Times New Roman"/>
          <w:sz w:val="28"/>
        </w:rPr>
      </w:pPr>
      <w:r>
        <w:rPr>
          <w:rFonts w:ascii="Times New Roman" w:hAnsi="Times New Roman" w:eastAsia="仿宋_GB2312" w:cs="Times New Roman"/>
          <w:sz w:val="28"/>
        </w:rPr>
        <w:t>邮编:</w:t>
      </w:r>
      <w:r>
        <w:rPr>
          <w:rFonts w:ascii="Times New Roman" w:hAnsi="Times New Roman" w:eastAsia="仿宋_GB2312" w:cs="Times New Roman"/>
          <w:color w:val="auto"/>
          <w:sz w:val="28"/>
        </w:rPr>
        <w:t>710</w:t>
      </w:r>
      <w:r>
        <w:rPr>
          <w:rFonts w:hint="eastAsia" w:ascii="Times New Roman" w:hAnsi="Times New Roman" w:eastAsia="仿宋_GB2312" w:cs="Times New Roman"/>
          <w:color w:val="auto"/>
          <w:sz w:val="28"/>
          <w:lang w:val="en-US" w:eastAsia="zh-CN"/>
        </w:rPr>
        <w:t>3</w:t>
      </w:r>
      <w:r>
        <w:rPr>
          <w:rFonts w:ascii="Times New Roman" w:hAnsi="Times New Roman" w:eastAsia="仿宋_GB2312" w:cs="Times New Roman"/>
          <w:color w:val="auto"/>
          <w:sz w:val="28"/>
        </w:rPr>
        <w:t>00</w:t>
      </w:r>
      <w:r>
        <w:rPr>
          <w:rFonts w:ascii="Times New Roman" w:hAnsi="Times New Roman" w:eastAsia="仿宋_GB2312" w:cs="Times New Roman"/>
          <w:sz w:val="28"/>
        </w:rPr>
        <w:t xml:space="preserve">                    </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 xml:space="preserve">邮编:710061 </w:t>
      </w:r>
    </w:p>
    <w:p>
      <w:pPr>
        <w:spacing w:line="360" w:lineRule="auto"/>
        <w:ind w:left="5040" w:hanging="5040" w:hangingChars="1800"/>
        <w:rPr>
          <w:rFonts w:ascii="Times New Roman" w:hAnsi="Times New Roman" w:eastAsia="仿宋_GB2312" w:cs="Times New Roman"/>
          <w:sz w:val="28"/>
          <w:lang w:val="da-DK"/>
        </w:rPr>
      </w:pPr>
      <w:r>
        <w:rPr>
          <w:rFonts w:ascii="Times New Roman" w:hAnsi="Times New Roman" w:eastAsia="仿宋_GB2312" w:cs="Times New Roman"/>
          <w:sz w:val="28"/>
        </w:rPr>
        <w:t>地址:</w:t>
      </w:r>
      <w:r>
        <w:rPr>
          <w:rFonts w:ascii="Times New Roman" w:hAnsi="Times New Roman" w:eastAsia="仿宋_GB2312" w:cs="Times New Roman"/>
          <w:sz w:val="28"/>
          <w:lang w:val="da-DK"/>
        </w:rPr>
        <w:t>陕西渭河煤化工集团有限</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地址:西安曲江新区政通大道环境监</w:t>
      </w:r>
    </w:p>
    <w:p>
      <w:pPr>
        <w:spacing w:line="360" w:lineRule="auto"/>
        <w:ind w:left="5040" w:hanging="5040" w:hangingChars="1800"/>
        <w:rPr>
          <w:rFonts w:ascii="Times New Roman" w:hAnsi="Times New Roman" w:eastAsia="仿宋_GB2312" w:cs="Times New Roman"/>
          <w:sz w:val="28"/>
        </w:rPr>
      </w:pPr>
      <w:r>
        <w:rPr>
          <w:rFonts w:ascii="Times New Roman" w:hAnsi="Times New Roman" w:eastAsia="仿宋_GB2312" w:cs="Times New Roman"/>
          <w:sz w:val="28"/>
          <w:lang w:val="da-DK"/>
        </w:rPr>
        <w:t>责任公司（简称渭化集团）厂内</w:t>
      </w:r>
      <w:r>
        <w:rPr>
          <w:rFonts w:ascii="Times New Roman" w:hAnsi="Times New Roman" w:eastAsia="仿宋_GB2312" w:cs="Times New Roman"/>
          <w:sz w:val="28"/>
        </w:rPr>
        <w:t xml:space="preserve"> </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 xml:space="preserve">控中心写字楼11层 </w:t>
      </w:r>
      <w:r>
        <w:rPr>
          <w:rFonts w:hint="eastAsia" w:ascii="Times New Roman" w:hAnsi="Times New Roman" w:eastAsia="仿宋_GB2312" w:cs="Times New Roman"/>
          <w:sz w:val="28"/>
          <w:lang w:val="en-US" w:eastAsia="zh-CN"/>
        </w:rPr>
        <w:t xml:space="preserve"> </w:t>
      </w:r>
      <w:r>
        <w:rPr>
          <w:rFonts w:ascii="Times New Roman" w:hAnsi="Times New Roman" w:eastAsia="仿宋_GB2312" w:cs="Times New Roman"/>
          <w:sz w:val="28"/>
        </w:rPr>
        <w:t xml:space="preserve"> </w:t>
      </w:r>
    </w:p>
    <w:p>
      <w:pPr>
        <w:spacing w:line="360" w:lineRule="auto"/>
        <w:rPr>
          <w:rFonts w:ascii="Times New Roman" w:hAnsi="Times New Roman" w:eastAsia="仿宋_GB2312" w:cs="Times New Roman"/>
          <w:sz w:val="28"/>
        </w:rPr>
        <w:sectPr>
          <w:footerReference r:id="rId3" w:type="default"/>
          <w:footerReference r:id="rId4" w:type="even"/>
          <w:pgSz w:w="11907" w:h="16840"/>
          <w:pgMar w:top="1304" w:right="1531" w:bottom="1304" w:left="1531" w:header="284" w:footer="851" w:gutter="0"/>
          <w:pgBorders>
            <w:top w:val="none" w:sz="0" w:space="0"/>
            <w:left w:val="none" w:sz="0" w:space="0"/>
            <w:bottom w:val="none" w:sz="0" w:space="0"/>
            <w:right w:val="none" w:sz="0" w:space="0"/>
          </w:pgBorders>
          <w:pgNumType w:fmt="decimal" w:start="2"/>
          <w:cols w:space="720" w:num="1"/>
          <w:docGrid w:linePitch="299" w:charSpace="0"/>
        </w:sectPr>
      </w:pPr>
    </w:p>
    <w:p>
      <w:pPr>
        <w:spacing w:line="400" w:lineRule="exact"/>
        <w:jc w:val="center"/>
        <w:rPr>
          <w:rFonts w:ascii="Times New Roman" w:hAnsi="Times New Roman" w:cs="Times New Roman"/>
          <w:b/>
          <w:sz w:val="30"/>
          <w:szCs w:val="30"/>
        </w:rPr>
      </w:pPr>
      <w:r>
        <w:rPr>
          <w:rFonts w:ascii="Times New Roman" w:hAnsi="Times New Roman" w:cs="Times New Roman"/>
          <w:b/>
          <w:sz w:val="30"/>
          <w:szCs w:val="30"/>
        </w:rPr>
        <w:t>目    录</w:t>
      </w:r>
    </w:p>
    <w:p>
      <w:pPr>
        <w:spacing w:line="360" w:lineRule="auto"/>
        <w:jc w:val="center"/>
        <w:rPr>
          <w:rFonts w:ascii="Times New Roman" w:hAnsi="Times New Roman" w:cs="Times New Roman"/>
          <w:b/>
          <w:sz w:val="24"/>
        </w:rPr>
      </w:pPr>
    </w:p>
    <w:p>
      <w:pPr>
        <w:pStyle w:val="18"/>
        <w:tabs>
          <w:tab w:val="right" w:leader="dot" w:pos="8306"/>
          <w:tab w:val="clear" w:pos="8296"/>
        </w:tabs>
        <w:spacing w:line="360" w:lineRule="auto"/>
        <w:rPr>
          <w:rFonts w:ascii="Times New Roman" w:hAnsi="Times New Roman" w:cs="Times New Roman"/>
          <w:sz w:val="24"/>
          <w:szCs w:val="24"/>
        </w:rPr>
      </w:pPr>
      <w:r>
        <w:rPr>
          <w:rFonts w:ascii="Times New Roman" w:hAnsi="Times New Roman" w:cs="Times New Roman"/>
          <w:sz w:val="24"/>
          <w:szCs w:val="24"/>
        </w:rPr>
        <w:fldChar w:fldCharType="begin"/>
      </w:r>
      <w:r>
        <w:rPr>
          <w:rStyle w:val="25"/>
          <w:rFonts w:ascii="Times New Roman" w:hAnsi="Times New Roman" w:cs="Times New Roman"/>
          <w:color w:val="auto"/>
          <w:sz w:val="24"/>
          <w:szCs w:val="24"/>
        </w:rPr>
        <w:instrText xml:space="preserve"> TOC \o "1-2" \h \z \u </w:instrText>
      </w:r>
      <w:r>
        <w:rPr>
          <w:rFonts w:ascii="Times New Roman" w:hAnsi="Times New Roman" w:cs="Times New Roman"/>
          <w:sz w:val="24"/>
          <w:szCs w:val="24"/>
        </w:rPr>
        <w:fldChar w:fldCharType="separate"/>
      </w:r>
      <w:r>
        <w:fldChar w:fldCharType="begin"/>
      </w:r>
      <w:r>
        <w:instrText xml:space="preserve"> HYPERLINK \l "_Toc6425" </w:instrText>
      </w:r>
      <w:r>
        <w:fldChar w:fldCharType="separate"/>
      </w:r>
      <w:r>
        <w:rPr>
          <w:rFonts w:ascii="Times New Roman" w:hAnsi="Times New Roman" w:cs="Times New Roman"/>
          <w:sz w:val="24"/>
          <w:szCs w:val="24"/>
        </w:rPr>
        <w:t>1 项目概况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_Toc6425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"_Toc29667" </w:instrText>
      </w:r>
      <w:r>
        <w:fldChar w:fldCharType="separate"/>
      </w:r>
      <w:r>
        <w:rPr>
          <w:rFonts w:ascii="Times New Roman" w:hAnsi="Times New Roman" w:cs="Times New Roman"/>
          <w:sz w:val="24"/>
          <w:szCs w:val="24"/>
        </w:rPr>
        <w:t>2 验收依据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_Toc29667 </w:instrText>
      </w:r>
      <w:r>
        <w:rPr>
          <w:rFonts w:ascii="Times New Roman" w:hAnsi="Times New Roman" w:cs="Times New Roman"/>
          <w:sz w:val="24"/>
          <w:szCs w:val="24"/>
        </w:rPr>
        <w:fldChar w:fldCharType="separate"/>
      </w:r>
      <w:r>
        <w:rPr>
          <w:rFonts w:ascii="Times New Roman" w:hAnsi="Times New Roman" w:cs="Times New Roman"/>
          <w:sz w:val="24"/>
          <w:szCs w:val="24"/>
        </w:rPr>
        <w:t>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"_Toc20407" </w:instrText>
      </w:r>
      <w:r>
        <w:fldChar w:fldCharType="separate"/>
      </w:r>
      <w:r>
        <w:rPr>
          <w:rFonts w:ascii="Times New Roman" w:hAnsi="Times New Roman" w:cs="Times New Roman"/>
          <w:sz w:val="24"/>
          <w:szCs w:val="24"/>
        </w:rPr>
        <w:t>3 项目建设情况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_Toc20407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"_Toc14936" </w:instrText>
      </w:r>
      <w:r>
        <w:fldChar w:fldCharType="separate"/>
      </w:r>
      <w:r>
        <w:rPr>
          <w:rFonts w:ascii="Times New Roman" w:hAnsi="Times New Roman" w:cs="Times New Roman"/>
        </w:rPr>
        <w:t>3.1地理位置及平面布置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_Toc14936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"_Toc30733" </w:instrText>
      </w:r>
      <w:r>
        <w:fldChar w:fldCharType="separate"/>
      </w:r>
      <w:r>
        <w:rPr>
          <w:rFonts w:ascii="Times New Roman" w:hAnsi="Times New Roman" w:cs="Times New Roman"/>
        </w:rPr>
        <w:t>3.2建设内容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_Toc30733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"_Toc7765" </w:instrText>
      </w:r>
      <w:r>
        <w:fldChar w:fldCharType="separate"/>
      </w:r>
      <w:r>
        <w:rPr>
          <w:rFonts w:ascii="Times New Roman" w:hAnsi="Times New Roman" w:cs="Times New Roman"/>
        </w:rPr>
        <w:t>3.3主要原辅材料及燃料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_Toc7765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"_Toc17592" </w:instrText>
      </w:r>
      <w:r>
        <w:fldChar w:fldCharType="separate"/>
      </w:r>
      <w:r>
        <w:rPr>
          <w:rFonts w:ascii="Times New Roman" w:hAnsi="Times New Roman" w:cs="Times New Roman"/>
        </w:rPr>
        <w:t>3.4水源及水平衡</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_Toc17592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"_Toc8078" </w:instrText>
      </w:r>
      <w:r>
        <w:fldChar w:fldCharType="separate"/>
      </w:r>
      <w:r>
        <w:rPr>
          <w:rFonts w:ascii="Times New Roman" w:hAnsi="Times New Roman" w:cs="Times New Roman"/>
        </w:rPr>
        <w:t>3.5生产工艺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_Toc8078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"_Toc6139" </w:instrText>
      </w:r>
      <w:r>
        <w:fldChar w:fldCharType="separate"/>
      </w:r>
      <w:r>
        <w:rPr>
          <w:rFonts w:ascii="Times New Roman" w:hAnsi="Times New Roman" w:cs="Times New Roman"/>
        </w:rPr>
        <w:t>3.6项目变动情况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_Toc6139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rPr>
      </w:pPr>
      <w:r>
        <w:fldChar w:fldCharType="begin"/>
      </w:r>
      <w:r>
        <w:instrText xml:space="preserve"> HYPERLINK \l "_Toc31509" </w:instrText>
      </w:r>
      <w:r>
        <w:fldChar w:fldCharType="separate"/>
      </w:r>
      <w:r>
        <w:rPr>
          <w:rFonts w:ascii="Times New Roman" w:hAnsi="Times New Roman" w:cs="Times New Roman"/>
          <w:sz w:val="24"/>
          <w:szCs w:val="24"/>
        </w:rPr>
        <w:t>4 环境保护设施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_Toc31509 </w:instrText>
      </w:r>
      <w:r>
        <w:rPr>
          <w:rFonts w:ascii="Times New Roman" w:hAnsi="Times New Roman" w:cs="Times New Roman"/>
          <w:sz w:val="24"/>
          <w:szCs w:val="24"/>
        </w:rPr>
        <w:fldChar w:fldCharType="separate"/>
      </w:r>
      <w:r>
        <w:rPr>
          <w:rFonts w:ascii="Times New Roman" w:hAnsi="Times New Roman" w:cs="Times New Roman"/>
          <w:sz w:val="24"/>
          <w:szCs w:val="24"/>
        </w:rPr>
        <w:t>28</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"_Toc30486" </w:instrText>
      </w:r>
      <w:r>
        <w:fldChar w:fldCharType="separate"/>
      </w:r>
      <w:r>
        <w:rPr>
          <w:rFonts w:ascii="Times New Roman" w:hAnsi="Times New Roman" w:cs="Times New Roman"/>
        </w:rPr>
        <w:t>4.1 噪声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_Toc30486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"_Toc13265" </w:instrText>
      </w:r>
      <w:r>
        <w:fldChar w:fldCharType="separate"/>
      </w:r>
      <w:r>
        <w:rPr>
          <w:rFonts w:ascii="Times New Roman" w:hAnsi="Times New Roman" w:cs="Times New Roman"/>
        </w:rPr>
        <w:t>4.2 固体废物</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_Toc13265 </w:instrText>
      </w:r>
      <w:r>
        <w:rPr>
          <w:rFonts w:ascii="Times New Roman" w:hAnsi="Times New Roman" w:cs="Times New Roman"/>
        </w:rPr>
        <w:fldChar w:fldCharType="separate"/>
      </w:r>
      <w:r>
        <w:rPr>
          <w:rFonts w:ascii="Times New Roman" w:hAnsi="Times New Roman" w:cs="Times New Roman"/>
        </w:rPr>
        <w:t>30</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"_Toc19424" </w:instrText>
      </w:r>
      <w:r>
        <w:fldChar w:fldCharType="separate"/>
      </w:r>
      <w:r>
        <w:rPr>
          <w:rFonts w:ascii="Times New Roman" w:hAnsi="Times New Roman" w:cs="Times New Roman"/>
          <w:sz w:val="24"/>
          <w:szCs w:val="24"/>
        </w:rPr>
        <w:t>5 环境影响报告书主要结论与建议及其审批部门审批意见</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_Toc19424 </w:instrText>
      </w:r>
      <w:r>
        <w:rPr>
          <w:rFonts w:ascii="Times New Roman" w:hAnsi="Times New Roman" w:cs="Times New Roman"/>
          <w:sz w:val="24"/>
          <w:szCs w:val="24"/>
        </w:rPr>
        <w:fldChar w:fldCharType="separate"/>
      </w:r>
      <w:r>
        <w:rPr>
          <w:rFonts w:ascii="Times New Roman" w:hAnsi="Times New Roman" w:cs="Times New Roman"/>
          <w:sz w:val="24"/>
          <w:szCs w:val="24"/>
        </w:rPr>
        <w:t>34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"_Toc18544" </w:instrText>
      </w:r>
      <w:r>
        <w:fldChar w:fldCharType="separate"/>
      </w:r>
      <w:r>
        <w:rPr>
          <w:rFonts w:ascii="Times New Roman" w:hAnsi="Times New Roman" w:cs="Times New Roman"/>
        </w:rPr>
        <w:t>5.1 环境影响报告书主要结论与建议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_Toc18544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"_Toc8077" </w:instrText>
      </w:r>
      <w:r>
        <w:fldChar w:fldCharType="separate"/>
      </w:r>
      <w:r>
        <w:rPr>
          <w:rFonts w:ascii="Times New Roman" w:hAnsi="Times New Roman" w:cs="Times New Roman"/>
        </w:rPr>
        <w:t>5.2 审批部门审批意见</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_Toc8077 </w:instrText>
      </w:r>
      <w:r>
        <w:rPr>
          <w:rFonts w:ascii="Times New Roman" w:hAnsi="Times New Roman" w:cs="Times New Roman"/>
        </w:rPr>
        <w:fldChar w:fldCharType="separate"/>
      </w:r>
      <w:r>
        <w:rPr>
          <w:rFonts w:ascii="Times New Roman" w:hAnsi="Times New Roman" w:cs="Times New Roman"/>
        </w:rPr>
        <w:t>38</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"_Toc406" </w:instrText>
      </w:r>
      <w:r>
        <w:fldChar w:fldCharType="separate"/>
      </w:r>
      <w:r>
        <w:rPr>
          <w:rFonts w:hint="eastAsia" w:ascii="Times New Roman" w:hAnsi="Times New Roman" w:cs="Times New Roman"/>
          <w:sz w:val="24"/>
          <w:szCs w:val="24"/>
          <w:lang w:val="en-US" w:eastAsia="zh-CN"/>
        </w:rPr>
        <w:t>6</w:t>
      </w:r>
      <w:r>
        <w:rPr>
          <w:rFonts w:ascii="Times New Roman" w:hAnsi="Times New Roman" w:cs="Times New Roman"/>
          <w:sz w:val="24"/>
          <w:szCs w:val="24"/>
        </w:rPr>
        <w:t xml:space="preserve"> 验收监测内容</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_Toc406 </w:instrText>
      </w:r>
      <w:r>
        <w:rPr>
          <w:rFonts w:ascii="Times New Roman" w:hAnsi="Times New Roman" w:cs="Times New Roman"/>
          <w:sz w:val="24"/>
          <w:szCs w:val="24"/>
        </w:rPr>
        <w:fldChar w:fldCharType="separate"/>
      </w:r>
      <w:r>
        <w:rPr>
          <w:rFonts w:ascii="Times New Roman" w:hAnsi="Times New Roman" w:cs="Times New Roman"/>
          <w:sz w:val="24"/>
          <w:szCs w:val="24"/>
        </w:rPr>
        <w:t>42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"_Toc5563" </w:instrText>
      </w:r>
      <w:r>
        <w:fldChar w:fldCharType="separate"/>
      </w:r>
      <w:r>
        <w:rPr>
          <w:rFonts w:hint="eastAsia" w:ascii="Times New Roman" w:hAnsi="Times New Roman" w:cs="Times New Roman"/>
          <w:lang w:val="en-US" w:eastAsia="zh-CN"/>
        </w:rPr>
        <w:t>6</w:t>
      </w:r>
      <w:r>
        <w:rPr>
          <w:rFonts w:ascii="Times New Roman" w:hAnsi="Times New Roman" w:cs="Times New Roman"/>
        </w:rPr>
        <w:t>.1环境保护设施调试运行效果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_Toc5563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"_Toc25598" </w:instrText>
      </w:r>
      <w:r>
        <w:fldChar w:fldCharType="separate"/>
      </w:r>
      <w:r>
        <w:rPr>
          <w:rFonts w:hint="eastAsia" w:ascii="Times New Roman" w:hAnsi="Times New Roman" w:cs="Times New Roman"/>
          <w:lang w:val="en-US" w:eastAsia="zh-CN"/>
        </w:rPr>
        <w:t>6</w:t>
      </w:r>
      <w:r>
        <w:rPr>
          <w:rFonts w:ascii="Times New Roman" w:hAnsi="Times New Roman" w:cs="Times New Roman"/>
        </w:rPr>
        <w:t>.1.1厂界噪声监测</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_Toc25598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"_Toc27858" </w:instrText>
      </w:r>
      <w:r>
        <w:fldChar w:fldCharType="separate"/>
      </w:r>
      <w:r>
        <w:rPr>
          <w:rFonts w:hint="eastAsia" w:ascii="Times New Roman" w:hAnsi="Times New Roman" w:cs="Times New Roman"/>
          <w:lang w:val="en-US" w:eastAsia="zh-CN"/>
        </w:rPr>
        <w:t>6</w:t>
      </w:r>
      <w:r>
        <w:rPr>
          <w:rFonts w:ascii="Times New Roman" w:hAnsi="Times New Roman" w:cs="Times New Roman"/>
        </w:rPr>
        <w:t>.1.2固体废物检查</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_Toc27858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"_Toc31857" </w:instrText>
      </w:r>
      <w:r>
        <w:fldChar w:fldCharType="separate"/>
      </w:r>
      <w:r>
        <w:rPr>
          <w:rFonts w:hint="eastAsia" w:ascii="Times New Roman" w:hAnsi="Times New Roman" w:cs="Times New Roman"/>
          <w:lang w:val="en-US" w:eastAsia="zh-CN"/>
        </w:rPr>
        <w:t>6</w:t>
      </w:r>
      <w:r>
        <w:rPr>
          <w:rFonts w:ascii="Times New Roman" w:hAnsi="Times New Roman" w:cs="Times New Roman"/>
        </w:rPr>
        <w:t>.1.3环境事故应急预案检查内容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_Toc31857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"_Toc116" </w:instrText>
      </w:r>
      <w:r>
        <w:fldChar w:fldCharType="separate"/>
      </w:r>
      <w:r>
        <w:rPr>
          <w:rFonts w:hint="eastAsia" w:ascii="Times New Roman" w:hAnsi="Times New Roman" w:cs="Times New Roman"/>
          <w:lang w:val="en-US" w:eastAsia="zh-CN"/>
        </w:rPr>
        <w:t>6</w:t>
      </w:r>
      <w:r>
        <w:rPr>
          <w:rFonts w:ascii="Times New Roman" w:hAnsi="Times New Roman" w:cs="Times New Roman"/>
        </w:rPr>
        <w:t>.1.4环境管理制度检查内容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_Toc116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"_Toc28715" </w:instrText>
      </w:r>
      <w:r>
        <w:fldChar w:fldCharType="separate"/>
      </w:r>
      <w:r>
        <w:rPr>
          <w:rFonts w:hint="eastAsia" w:ascii="Times New Roman" w:hAnsi="Times New Roman" w:cs="Times New Roman"/>
          <w:sz w:val="24"/>
          <w:szCs w:val="24"/>
          <w:lang w:val="en-US" w:eastAsia="zh-CN"/>
        </w:rPr>
        <w:t>7</w:t>
      </w:r>
      <w:r>
        <w:rPr>
          <w:rFonts w:ascii="Times New Roman" w:hAnsi="Times New Roman" w:cs="Times New Roman"/>
          <w:sz w:val="24"/>
          <w:szCs w:val="24"/>
        </w:rPr>
        <w:t xml:space="preserve"> 质量保证和质量控制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_Toc28715 </w:instrText>
      </w:r>
      <w:r>
        <w:rPr>
          <w:rFonts w:ascii="Times New Roman" w:hAnsi="Times New Roman" w:cs="Times New Roman"/>
          <w:sz w:val="24"/>
          <w:szCs w:val="24"/>
        </w:rPr>
        <w:fldChar w:fldCharType="separate"/>
      </w:r>
      <w:r>
        <w:rPr>
          <w:rFonts w:ascii="Times New Roman" w:hAnsi="Times New Roman" w:cs="Times New Roman"/>
          <w:sz w:val="24"/>
          <w:szCs w:val="24"/>
        </w:rPr>
        <w:t>44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"_Toc19070" </w:instrText>
      </w:r>
      <w:r>
        <w:fldChar w:fldCharType="separate"/>
      </w:r>
      <w:r>
        <w:rPr>
          <w:rFonts w:hint="eastAsia" w:ascii="Times New Roman" w:hAnsi="Times New Roman" w:cs="Times New Roman"/>
          <w:lang w:val="en-US" w:eastAsia="zh-CN"/>
        </w:rPr>
        <w:t>7</w:t>
      </w:r>
      <w:r>
        <w:rPr>
          <w:rFonts w:ascii="Times New Roman" w:hAnsi="Times New Roman" w:cs="Times New Roman"/>
        </w:rPr>
        <w:t>.1监测分析方法</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_Toc19070 </w:instrText>
      </w:r>
      <w:r>
        <w:rPr>
          <w:rFonts w:ascii="Times New Roman" w:hAnsi="Times New Roman" w:cs="Times New Roman"/>
        </w:rPr>
        <w:fldChar w:fldCharType="separate"/>
      </w:r>
      <w:r>
        <w:rPr>
          <w:rFonts w:ascii="Times New Roman" w:hAnsi="Times New Roman" w:cs="Times New Roman"/>
        </w:rPr>
        <w:t>44</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"_Toc5440" </w:instrText>
      </w:r>
      <w:r>
        <w:fldChar w:fldCharType="separate"/>
      </w:r>
      <w:r>
        <w:rPr>
          <w:rFonts w:hint="eastAsia" w:ascii="Times New Roman" w:hAnsi="Times New Roman" w:cs="Times New Roman"/>
          <w:lang w:val="en-US" w:eastAsia="zh-CN"/>
        </w:rPr>
        <w:t>7</w:t>
      </w:r>
      <w:r>
        <w:rPr>
          <w:rFonts w:ascii="Times New Roman" w:hAnsi="Times New Roman" w:cs="Times New Roman"/>
        </w:rPr>
        <w:t>.2人员能力</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_Toc5440 </w:instrText>
      </w:r>
      <w:r>
        <w:rPr>
          <w:rFonts w:ascii="Times New Roman" w:hAnsi="Times New Roman" w:cs="Times New Roman"/>
        </w:rPr>
        <w:fldChar w:fldCharType="separate"/>
      </w:r>
      <w:r>
        <w:rPr>
          <w:rFonts w:ascii="Times New Roman" w:hAnsi="Times New Roman" w:cs="Times New Roman"/>
        </w:rPr>
        <w:t>45</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"_Toc23649" </w:instrText>
      </w:r>
      <w:r>
        <w:fldChar w:fldCharType="separate"/>
      </w:r>
      <w:r>
        <w:rPr>
          <w:rFonts w:hint="eastAsia" w:ascii="Times New Roman" w:hAnsi="Times New Roman" w:cs="Times New Roman"/>
          <w:sz w:val="24"/>
          <w:szCs w:val="24"/>
          <w:lang w:val="en-US" w:eastAsia="zh-CN"/>
        </w:rPr>
        <w:t>8</w:t>
      </w:r>
      <w:r>
        <w:rPr>
          <w:rFonts w:ascii="Times New Roman" w:hAnsi="Times New Roman" w:cs="Times New Roman"/>
          <w:sz w:val="24"/>
          <w:szCs w:val="24"/>
        </w:rPr>
        <w:t xml:space="preserve"> 验收监测结果</w:t>
      </w:r>
      <w:r>
        <w:rPr>
          <w:rFonts w:ascii="Times New Roman" w:hAnsi="Times New Roman" w:cs="Times New Roman"/>
          <w:sz w:val="24"/>
          <w:szCs w:val="24"/>
        </w:rPr>
        <w:tab/>
      </w:r>
      <w:bookmarkStart w:id="240" w:name="_GoBack"/>
      <w:bookmarkEnd w:id="240"/>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_Toc23649 </w:instrText>
      </w:r>
      <w:r>
        <w:rPr>
          <w:rFonts w:ascii="Times New Roman" w:hAnsi="Times New Roman" w:cs="Times New Roman"/>
          <w:sz w:val="24"/>
          <w:szCs w:val="24"/>
        </w:rPr>
        <w:fldChar w:fldCharType="separate"/>
      </w:r>
      <w:r>
        <w:rPr>
          <w:rFonts w:ascii="Times New Roman" w:hAnsi="Times New Roman" w:cs="Times New Roman"/>
          <w:sz w:val="24"/>
          <w:szCs w:val="24"/>
        </w:rPr>
        <w:t>47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"_Toc22197" </w:instrText>
      </w:r>
      <w:r>
        <w:fldChar w:fldCharType="separate"/>
      </w:r>
      <w:r>
        <w:rPr>
          <w:rFonts w:hint="eastAsia" w:ascii="Times New Roman" w:hAnsi="Times New Roman" w:cs="Times New Roman"/>
          <w:lang w:val="en-US" w:eastAsia="zh-CN"/>
        </w:rPr>
        <w:t>8</w:t>
      </w:r>
      <w:r>
        <w:rPr>
          <w:rFonts w:ascii="Times New Roman" w:hAnsi="Times New Roman" w:cs="Times New Roman"/>
        </w:rPr>
        <w:t>.1生产工况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_Toc22197 </w:instrText>
      </w:r>
      <w:r>
        <w:rPr>
          <w:rFonts w:ascii="Times New Roman" w:hAnsi="Times New Roman" w:cs="Times New Roman"/>
        </w:rPr>
        <w:fldChar w:fldCharType="separate"/>
      </w:r>
      <w:r>
        <w:rPr>
          <w:rFonts w:ascii="Times New Roman" w:hAnsi="Times New Roman" w:cs="Times New Roman"/>
        </w:rPr>
        <w:t>47</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"_Toc12082" </w:instrText>
      </w:r>
      <w:r>
        <w:fldChar w:fldCharType="separate"/>
      </w:r>
      <w:r>
        <w:rPr>
          <w:rFonts w:hint="eastAsia" w:ascii="Times New Roman" w:hAnsi="Times New Roman" w:cs="Times New Roman"/>
          <w:lang w:val="en-US" w:eastAsia="zh-CN"/>
        </w:rPr>
        <w:t>8</w:t>
      </w:r>
      <w:r>
        <w:rPr>
          <w:rFonts w:ascii="Times New Roman" w:hAnsi="Times New Roman" w:cs="Times New Roman"/>
        </w:rPr>
        <w:t>.2环保设施调试运行效果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_Toc12082 </w:instrText>
      </w:r>
      <w:r>
        <w:rPr>
          <w:rFonts w:ascii="Times New Roman" w:hAnsi="Times New Roman" w:cs="Times New Roman"/>
        </w:rPr>
        <w:fldChar w:fldCharType="separate"/>
      </w:r>
      <w:r>
        <w:rPr>
          <w:rFonts w:ascii="Times New Roman" w:hAnsi="Times New Roman" w:cs="Times New Roman"/>
        </w:rPr>
        <w:t>47</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"_Toc7211" </w:instrText>
      </w:r>
      <w:r>
        <w:fldChar w:fldCharType="separate"/>
      </w:r>
      <w:r>
        <w:rPr>
          <w:rFonts w:hint="eastAsia" w:ascii="Times New Roman" w:hAnsi="Times New Roman" w:cs="Times New Roman"/>
          <w:bCs/>
          <w:sz w:val="24"/>
          <w:szCs w:val="24"/>
          <w:lang w:val="en-US" w:eastAsia="zh-CN"/>
        </w:rPr>
        <w:t>9</w:t>
      </w:r>
      <w:r>
        <w:rPr>
          <w:rFonts w:ascii="Times New Roman" w:hAnsi="Times New Roman" w:cs="Times New Roman"/>
          <w:bCs/>
          <w:sz w:val="24"/>
          <w:szCs w:val="24"/>
        </w:rPr>
        <w:t xml:space="preserve"> 环境管理检查结果</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_Toc7211 </w:instrText>
      </w:r>
      <w:r>
        <w:rPr>
          <w:rFonts w:ascii="Times New Roman" w:hAnsi="Times New Roman" w:cs="Times New Roman"/>
          <w:sz w:val="24"/>
          <w:szCs w:val="24"/>
        </w:rPr>
        <w:fldChar w:fldCharType="separate"/>
      </w:r>
      <w:r>
        <w:rPr>
          <w:rFonts w:ascii="Times New Roman" w:hAnsi="Times New Roman" w:cs="Times New Roman"/>
          <w:sz w:val="24"/>
          <w:szCs w:val="24"/>
        </w:rPr>
        <w:t>56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"_Toc24670" </w:instrText>
      </w:r>
      <w:r>
        <w:fldChar w:fldCharType="separate"/>
      </w:r>
      <w:r>
        <w:rPr>
          <w:rFonts w:hint="eastAsia" w:ascii="Times New Roman" w:hAnsi="Times New Roman" w:cs="Times New Roman"/>
          <w:lang w:val="en-US" w:eastAsia="zh-CN"/>
        </w:rPr>
        <w:t>9</w:t>
      </w:r>
      <w:r>
        <w:rPr>
          <w:rFonts w:ascii="Times New Roman" w:hAnsi="Times New Roman" w:cs="Times New Roman"/>
        </w:rPr>
        <w:t>.1环评及其批复落实情况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_Toc24670 </w:instrText>
      </w:r>
      <w:r>
        <w:rPr>
          <w:rFonts w:ascii="Times New Roman" w:hAnsi="Times New Roman" w:cs="Times New Roman"/>
        </w:rPr>
        <w:fldChar w:fldCharType="separate"/>
      </w:r>
      <w:r>
        <w:rPr>
          <w:rFonts w:ascii="Times New Roman" w:hAnsi="Times New Roman" w:cs="Times New Roman"/>
        </w:rPr>
        <w:t>56</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"_Toc5539" </w:instrText>
      </w:r>
      <w:r>
        <w:fldChar w:fldCharType="separate"/>
      </w:r>
      <w:r>
        <w:rPr>
          <w:rFonts w:hint="eastAsia" w:ascii="Times New Roman" w:hAnsi="Times New Roman" w:cs="Times New Roman"/>
          <w:lang w:val="en-US" w:eastAsia="zh-CN"/>
        </w:rPr>
        <w:t>9</w:t>
      </w:r>
      <w:r>
        <w:rPr>
          <w:rFonts w:ascii="Times New Roman" w:hAnsi="Times New Roman" w:cs="Times New Roman"/>
        </w:rPr>
        <w:t>.2环境保护法律法规执行情况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_Toc5539 </w:instrText>
      </w:r>
      <w:r>
        <w:rPr>
          <w:rFonts w:ascii="Times New Roman" w:hAnsi="Times New Roman" w:cs="Times New Roman"/>
        </w:rPr>
        <w:fldChar w:fldCharType="separate"/>
      </w:r>
      <w:r>
        <w:rPr>
          <w:rFonts w:ascii="Times New Roman" w:hAnsi="Times New Roman" w:cs="Times New Roman"/>
        </w:rPr>
        <w:t>56</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"_Toc16678" </w:instrText>
      </w:r>
      <w:r>
        <w:fldChar w:fldCharType="separate"/>
      </w:r>
      <w:r>
        <w:rPr>
          <w:rFonts w:hint="eastAsia" w:ascii="Times New Roman" w:hAnsi="Times New Roman" w:cs="Times New Roman"/>
          <w:lang w:val="en-US" w:eastAsia="zh-CN"/>
        </w:rPr>
        <w:t>9</w:t>
      </w:r>
      <w:r>
        <w:rPr>
          <w:rFonts w:ascii="Times New Roman" w:hAnsi="Times New Roman" w:cs="Times New Roman"/>
        </w:rPr>
        <w:t>.3环保设施运行及维护情况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_Toc16678 </w:instrText>
      </w:r>
      <w:r>
        <w:rPr>
          <w:rFonts w:ascii="Times New Roman" w:hAnsi="Times New Roman" w:cs="Times New Roman"/>
        </w:rPr>
        <w:fldChar w:fldCharType="separate"/>
      </w:r>
      <w:r>
        <w:rPr>
          <w:rFonts w:ascii="Times New Roman" w:hAnsi="Times New Roman" w:cs="Times New Roman"/>
        </w:rPr>
        <w:t>56</w:t>
      </w:r>
      <w:r>
        <w:rPr>
          <w:rFonts w:ascii="Times New Roman" w:hAnsi="Times New Roman" w:cs="Times New Roman"/>
        </w:rPr>
        <w:fldChar w:fldCharType="end"/>
      </w:r>
      <w:r>
        <w:rPr>
          <w:rFonts w:ascii="Times New Roman" w:hAnsi="Times New Roman" w:cs="Times New Roman"/>
        </w:rPr>
        <w:fldChar w:fldCharType="end"/>
      </w:r>
    </w:p>
    <w:p>
      <w:pPr>
        <w:pStyle w:val="20"/>
        <w:tabs>
          <w:tab w:val="right" w:leader="dot" w:pos="8306"/>
          <w:tab w:val="clear" w:pos="8296"/>
        </w:tabs>
        <w:rPr>
          <w:rFonts w:ascii="Times New Roman" w:hAnsi="Times New Roman" w:cs="Times New Roman"/>
        </w:rPr>
      </w:pPr>
      <w:r>
        <w:fldChar w:fldCharType="begin"/>
      </w:r>
      <w:r>
        <w:instrText xml:space="preserve"> HYPERLINK \l "_Toc10711" </w:instrText>
      </w:r>
      <w:r>
        <w:fldChar w:fldCharType="separate"/>
      </w:r>
      <w:r>
        <w:rPr>
          <w:rFonts w:hint="eastAsia" w:ascii="Times New Roman" w:hAnsi="Times New Roman" w:cs="Times New Roman"/>
          <w:lang w:val="en-US" w:eastAsia="zh-CN"/>
        </w:rPr>
        <w:t>9</w:t>
      </w:r>
      <w:r>
        <w:rPr>
          <w:rFonts w:ascii="Times New Roman" w:hAnsi="Times New Roman" w:cs="Times New Roman"/>
        </w:rPr>
        <w:t>.4环境风险防范措施及应急预案制定检查结果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_Toc10711 </w:instrText>
      </w:r>
      <w:r>
        <w:rPr>
          <w:rFonts w:ascii="Times New Roman" w:hAnsi="Times New Roman" w:cs="Times New Roman"/>
        </w:rPr>
        <w:fldChar w:fldCharType="separate"/>
      </w:r>
      <w:r>
        <w:rPr>
          <w:rFonts w:ascii="Times New Roman" w:hAnsi="Times New Roman" w:cs="Times New Roman"/>
        </w:rPr>
        <w:t>60</w:t>
      </w:r>
      <w:r>
        <w:rPr>
          <w:rFonts w:ascii="Times New Roman" w:hAnsi="Times New Roman" w:cs="Times New Roman"/>
        </w:rPr>
        <w:fldChar w:fldCharType="end"/>
      </w: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sz w:val="24"/>
          <w:szCs w:val="24"/>
        </w:rPr>
      </w:pPr>
      <w:r>
        <w:fldChar w:fldCharType="begin"/>
      </w:r>
      <w:r>
        <w:instrText xml:space="preserve"> HYPERLINK \l "_Toc14177" </w:instrText>
      </w:r>
      <w:r>
        <w:fldChar w:fldCharType="separate"/>
      </w:r>
      <w:r>
        <w:rPr>
          <w:rFonts w:ascii="Times New Roman" w:hAnsi="Times New Roman" w:cs="Times New Roman"/>
          <w:sz w:val="24"/>
          <w:szCs w:val="24"/>
        </w:rPr>
        <w:t>1</w:t>
      </w:r>
      <w:r>
        <w:rPr>
          <w:rFonts w:hint="eastAsia" w:ascii="Times New Roman" w:hAnsi="Times New Roman" w:cs="Times New Roman"/>
          <w:sz w:val="24"/>
          <w:szCs w:val="24"/>
          <w:lang w:val="en-US" w:eastAsia="zh-CN"/>
        </w:rPr>
        <w:t>0</w:t>
      </w:r>
      <w:r>
        <w:rPr>
          <w:rFonts w:ascii="Times New Roman" w:hAnsi="Times New Roman" w:cs="Times New Roman"/>
          <w:sz w:val="24"/>
          <w:szCs w:val="24"/>
        </w:rPr>
        <w:t xml:space="preserve"> 验收监测结论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_Toc14177 </w:instrText>
      </w:r>
      <w:r>
        <w:rPr>
          <w:rFonts w:ascii="Times New Roman" w:hAnsi="Times New Roman" w:cs="Times New Roman"/>
          <w:sz w:val="24"/>
          <w:szCs w:val="24"/>
        </w:rPr>
        <w:fldChar w:fldCharType="separate"/>
      </w:r>
      <w:r>
        <w:rPr>
          <w:rFonts w:ascii="Times New Roman" w:hAnsi="Times New Roman" w:cs="Times New Roman"/>
          <w:sz w:val="24"/>
          <w:szCs w:val="24"/>
        </w:rPr>
        <w:t>63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8"/>
        <w:tabs>
          <w:tab w:val="right" w:leader="dot" w:pos="8306"/>
          <w:tab w:val="clear" w:pos="8296"/>
        </w:tabs>
        <w:spacing w:line="360" w:lineRule="auto"/>
        <w:rPr>
          <w:rFonts w:ascii="Times New Roman" w:hAnsi="Times New Roman" w:cs="Times New Roman"/>
        </w:rPr>
      </w:pPr>
      <w:r>
        <w:rPr>
          <w:rFonts w:ascii="Times New Roman" w:hAnsi="Times New Roman" w:cs="Times New Roman"/>
        </w:rPr>
        <w:fldChar w:fldCharType="end"/>
      </w:r>
    </w:p>
    <w:p>
      <w:pPr>
        <w:pStyle w:val="18"/>
        <w:tabs>
          <w:tab w:val="right" w:leader="dot" w:pos="8306"/>
          <w:tab w:val="clear" w:pos="8296"/>
        </w:tabs>
        <w:spacing w:line="360" w:lineRule="auto"/>
        <w:rPr>
          <w:rFonts w:ascii="Times New Roman" w:hAnsi="Times New Roman" w:cs="Times New Roman"/>
        </w:rPr>
      </w:pPr>
    </w:p>
    <w:p>
      <w:pPr>
        <w:rPr>
          <w:rFonts w:ascii="Times New Roman" w:hAnsi="Times New Roman" w:cs="Times New Roman"/>
        </w:rPr>
      </w:pPr>
    </w:p>
    <w:p>
      <w:pPr>
        <w:tabs>
          <w:tab w:val="right" w:leader="dot" w:pos="8296"/>
        </w:tabs>
        <w:rPr>
          <w:rFonts w:ascii="Times New Roman" w:hAnsi="Times New Roman" w:cs="Times New Roman"/>
          <w:b/>
          <w:sz w:val="24"/>
        </w:rPr>
      </w:pPr>
      <w:r>
        <w:rPr>
          <w:rFonts w:ascii="Times New Roman" w:hAnsi="Times New Roman" w:cs="Times New Roman"/>
          <w:b/>
          <w:sz w:val="24"/>
        </w:rPr>
        <w:t>附件：</w:t>
      </w:r>
    </w:p>
    <w:p>
      <w:pPr>
        <w:numPr>
          <w:ilvl w:val="0"/>
          <w:numId w:val="0"/>
        </w:numPr>
        <w:spacing w:line="360" w:lineRule="auto"/>
        <w:ind w:firstLine="480"/>
        <w:rPr>
          <w:rFonts w:ascii="Times New Roman" w:hAnsi="Times New Roman" w:cs="Times New Roman"/>
          <w:sz w:val="24"/>
        </w:rPr>
      </w:pPr>
      <w:r>
        <w:rPr>
          <w:rFonts w:ascii="Times New Roman" w:hAnsi="Times New Roman" w:cs="Times New Roman"/>
          <w:sz w:val="24"/>
        </w:rPr>
        <w:t>附件1  委托书</w:t>
      </w:r>
    </w:p>
    <w:p>
      <w:pPr>
        <w:spacing w:line="360" w:lineRule="auto"/>
        <w:ind w:firstLine="480"/>
        <w:rPr>
          <w:rFonts w:hint="eastAsia" w:ascii="Times New Roman" w:hAnsi="Times New Roman" w:eastAsia="宋体" w:cs="Times New Roman"/>
          <w:sz w:val="24"/>
          <w:lang w:eastAsia="zh-CN"/>
        </w:rPr>
      </w:pPr>
      <w:r>
        <w:rPr>
          <w:rFonts w:ascii="Times New Roman" w:hAnsi="Times New Roman" w:cs="Times New Roman"/>
          <w:sz w:val="24"/>
        </w:rPr>
        <w:t xml:space="preserve">附件2  </w:t>
      </w:r>
      <w:r>
        <w:rPr>
          <w:rFonts w:hint="eastAsia" w:ascii="Times New Roman" w:hAnsi="Times New Roman" w:cs="Times New Roman"/>
          <w:sz w:val="24"/>
          <w:lang w:eastAsia="zh-CN"/>
        </w:rPr>
        <w:t>前三期废水处理站环评及验收批复</w:t>
      </w:r>
    </w:p>
    <w:p>
      <w:pPr>
        <w:spacing w:line="360" w:lineRule="auto"/>
        <w:ind w:firstLine="480"/>
        <w:rPr>
          <w:rFonts w:hint="eastAsia" w:ascii="Times New Roman" w:hAnsi="Times New Roman" w:eastAsia="宋体" w:cs="Times New Roman"/>
          <w:sz w:val="24"/>
          <w:lang w:val="en-US" w:eastAsia="zh-CN"/>
        </w:rPr>
      </w:pPr>
      <w:r>
        <w:rPr>
          <w:rFonts w:hint="eastAsia" w:ascii="Times New Roman" w:hAnsi="Times New Roman" w:cs="Times New Roman"/>
          <w:sz w:val="24"/>
          <w:lang w:eastAsia="zh-CN"/>
        </w:rPr>
        <w:t>附件</w:t>
      </w:r>
      <w:r>
        <w:rPr>
          <w:rFonts w:hint="eastAsia" w:ascii="Times New Roman" w:hAnsi="Times New Roman" w:cs="Times New Roman"/>
          <w:sz w:val="24"/>
          <w:lang w:val="en-US" w:eastAsia="zh-CN"/>
        </w:rPr>
        <w:t xml:space="preserve">3 </w:t>
      </w:r>
      <w:r>
        <w:rPr>
          <w:rFonts w:hint="eastAsia" w:ascii="Times New Roman" w:hAnsi="Times New Roman" w:cs="Times New Roman"/>
          <w:sz w:val="24"/>
          <w:lang w:eastAsia="zh-CN"/>
        </w:rPr>
        <w:t>渭南市环境保护局高新区分局</w:t>
      </w:r>
      <w:r>
        <w:rPr>
          <w:rFonts w:ascii="Times New Roman" w:hAnsi="Times New Roman" w:cs="Times New Roman"/>
          <w:sz w:val="24"/>
        </w:rPr>
        <w:t>《</w:t>
      </w:r>
      <w:r>
        <w:rPr>
          <w:rFonts w:hint="eastAsia" w:ascii="Times New Roman" w:hAnsi="Times New Roman" w:cs="Times New Roman"/>
          <w:sz w:val="24"/>
          <w:lang w:eastAsia="zh-CN"/>
        </w:rPr>
        <w:t>关于渭南高新区渭河洁能有限公司废水处理及中水回用系统扩能改造项目环境影响报告书审批意见</w:t>
      </w:r>
      <w:r>
        <w:rPr>
          <w:rFonts w:ascii="Times New Roman" w:hAnsi="Times New Roman" w:cs="Times New Roman"/>
          <w:sz w:val="24"/>
        </w:rPr>
        <w:t>》</w:t>
      </w:r>
      <w:r>
        <w:rPr>
          <w:rFonts w:hint="eastAsia" w:ascii="Times New Roman" w:hAnsi="Times New Roman" w:cs="Times New Roman"/>
          <w:sz w:val="24"/>
          <w:lang w:eastAsia="zh-CN"/>
        </w:rPr>
        <w:t>渭高环审</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sz w:val="24"/>
          <w:lang w:val="en-US" w:eastAsia="zh-CN"/>
        </w:rPr>
        <w:t>3</w:t>
      </w:r>
      <w:r>
        <w:rPr>
          <w:rFonts w:ascii="Times New Roman" w:hAnsi="Times New Roman" w:cs="Times New Roman"/>
          <w:sz w:val="24"/>
        </w:rPr>
        <w:t>号</w:t>
      </w:r>
      <w:r>
        <w:rPr>
          <w:rFonts w:hint="eastAsia" w:ascii="Times New Roman" w:hAnsi="Times New Roman" w:cs="Times New Roman"/>
          <w:sz w:val="24"/>
          <w:lang w:val="en-US" w:eastAsia="zh-CN"/>
        </w:rPr>
        <w:t>，2016年3月28日。</w:t>
      </w:r>
    </w:p>
    <w:p>
      <w:pPr>
        <w:numPr>
          <w:ilvl w:val="0"/>
          <w:numId w:val="0"/>
        </w:numPr>
        <w:spacing w:line="360" w:lineRule="auto"/>
        <w:ind w:firstLine="480"/>
        <w:rPr>
          <w:rFonts w:ascii="Times New Roman" w:hAnsi="Times New Roman" w:cs="Times New Roman"/>
          <w:sz w:val="24"/>
        </w:rPr>
      </w:pPr>
      <w:r>
        <w:rPr>
          <w:rFonts w:ascii="Times New Roman" w:hAnsi="Times New Roman" w:cs="Times New Roman"/>
          <w:sz w:val="24"/>
        </w:rPr>
        <w:t>附件</w:t>
      </w:r>
      <w:r>
        <w:rPr>
          <w:rFonts w:hint="eastAsia" w:ascii="Times New Roman" w:hAnsi="Times New Roman" w:cs="Times New Roman"/>
          <w:sz w:val="24"/>
          <w:lang w:val="en-US" w:eastAsia="zh-CN"/>
        </w:rPr>
        <w:t>4</w:t>
      </w:r>
      <w:r>
        <w:rPr>
          <w:rFonts w:ascii="Times New Roman" w:hAnsi="Times New Roman" w:cs="Times New Roman"/>
          <w:sz w:val="24"/>
        </w:rPr>
        <w:t xml:space="preserve">  监测报告</w:t>
      </w:r>
    </w:p>
    <w:p>
      <w:pPr>
        <w:pStyle w:val="5"/>
        <w:ind w:firstLine="480"/>
        <w:rPr>
          <w:rFonts w:hint="eastAsia" w:ascii="Times New Roman" w:hAnsi="Times New Roman" w:cs="Times New Roman"/>
          <w:b w:val="0"/>
          <w:bCs w:val="0"/>
          <w:sz w:val="24"/>
          <w:lang w:val="en-US" w:eastAsia="zh-CN"/>
        </w:rPr>
      </w:pPr>
    </w:p>
    <w:p>
      <w:pPr>
        <w:ind w:firstLine="480"/>
        <w:rPr>
          <w:rFonts w:hint="eastAsia"/>
          <w:lang w:val="en-US" w:eastAsia="zh-CN"/>
        </w:rPr>
      </w:pPr>
      <w:r>
        <w:rPr>
          <w:rFonts w:hint="eastAsia"/>
          <w:lang w:val="en-US" w:eastAsia="zh-CN"/>
        </w:rPr>
        <w:t xml:space="preserve">  </w:t>
      </w:r>
    </w:p>
    <w:p>
      <w:pPr>
        <w:spacing w:line="360" w:lineRule="auto"/>
        <w:ind w:firstLine="480" w:firstLineChars="200"/>
        <w:rPr>
          <w:rFonts w:ascii="Times New Roman" w:hAnsi="Times New Roman" w:eastAsia="黑体" w:cs="Times New Roman"/>
          <w:sz w:val="28"/>
          <w:szCs w:val="36"/>
        </w:rPr>
      </w:pPr>
      <w:r>
        <w:rPr>
          <w:rFonts w:ascii="Times New Roman" w:hAnsi="Times New Roman" w:cs="Times New Roman"/>
          <w:sz w:val="24"/>
        </w:rPr>
        <w:t xml:space="preserve">  </w:t>
      </w:r>
    </w:p>
    <w:p>
      <w:pPr>
        <w:numPr>
          <w:ilvl w:val="0"/>
          <w:numId w:val="0"/>
        </w:numPr>
        <w:ind w:firstLine="480"/>
        <w:rPr>
          <w:rFonts w:ascii="Times New Roman" w:hAnsi="Times New Roman" w:cs="Times New Roman"/>
          <w:sz w:val="24"/>
        </w:rPr>
      </w:pPr>
    </w:p>
    <w:p>
      <w:pPr>
        <w:rPr>
          <w:rFonts w:ascii="Times New Roman" w:hAnsi="Times New Roman" w:cs="Times New Roman"/>
        </w:rPr>
        <w:sectPr>
          <w:footerReference r:id="rId7" w:type="first"/>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ascii="Times New Roman" w:hAnsi="Times New Roman" w:cs="Times New Roman"/>
        </w:rPr>
        <w:t xml:space="preserve"> </w:t>
      </w:r>
    </w:p>
    <w:p>
      <w:pPr>
        <w:pStyle w:val="4"/>
        <w:jc w:val="both"/>
        <w:rPr>
          <w:rFonts w:cs="Times New Roman"/>
          <w:sz w:val="28"/>
          <w:szCs w:val="28"/>
        </w:rPr>
      </w:pPr>
      <w:bookmarkStart w:id="0" w:name="_Toc6425"/>
      <w:r>
        <w:rPr>
          <w:rFonts w:cs="Times New Roman"/>
          <w:sz w:val="28"/>
          <w:szCs w:val="28"/>
        </w:rPr>
        <w:t>1 项目概况</w:t>
      </w:r>
      <w:bookmarkEnd w:id="0"/>
    </w:p>
    <w:p>
      <w:pPr>
        <w:tabs>
          <w:tab w:val="left" w:pos="1245"/>
        </w:tabs>
        <w:snapToGrid w:val="0"/>
        <w:spacing w:line="360" w:lineRule="auto"/>
        <w:rPr>
          <w:rFonts w:hint="eastAsia" w:eastAsia="宋体"/>
          <w:sz w:val="24"/>
          <w:lang w:val="en-US" w:eastAsia="zh-CN"/>
        </w:rPr>
      </w:pPr>
      <w:bookmarkStart w:id="1" w:name="_Toc109033237"/>
      <w:bookmarkStart w:id="2" w:name="_Toc109033335"/>
      <w:bookmarkStart w:id="3" w:name="_Toc133373693"/>
      <w:r>
        <w:rPr>
          <w:rFonts w:hint="eastAsia"/>
          <w:sz w:val="24"/>
          <w:lang w:val="en-US" w:eastAsia="zh-CN"/>
        </w:rPr>
        <w:t>1.1 建设单位简介</w:t>
      </w:r>
    </w:p>
    <w:p>
      <w:pPr>
        <w:tabs>
          <w:tab w:val="left" w:pos="1245"/>
        </w:tabs>
        <w:snapToGrid w:val="0"/>
        <w:spacing w:line="360" w:lineRule="auto"/>
        <w:ind w:firstLine="480" w:firstLineChars="200"/>
        <w:rPr>
          <w:sz w:val="24"/>
          <w:lang w:val="da-DK"/>
        </w:rPr>
      </w:pPr>
      <w:r>
        <w:rPr>
          <w:sz w:val="24"/>
          <w:lang w:val="da-DK"/>
        </w:rPr>
        <w:t>陕西渭河煤化工集团有限责任公司（以下简称渭化集团）位于渭南经济开发区内，是陕西省规模最大的化肥生产企业，由原陕西渭河化肥厂改制成立。渭化集团主体生产装置中的化肥生产装置年产能力为30万吨合成氨、52万吨尿素，醇醚生产装置年产能力为60万吨甲醇、11万吨二甲醚。目前，企业产品已形成了优质氮肥、清洁能源、高纯气体、煤化工助剂等四大类10多个品种。</w:t>
      </w:r>
      <w:r>
        <w:rPr>
          <w:rFonts w:hint="eastAsia"/>
          <w:sz w:val="24"/>
          <w:lang w:val="da-DK"/>
        </w:rPr>
        <w:t>渭化集团公司已申领排污许可</w:t>
      </w:r>
      <w:r>
        <w:rPr>
          <w:rFonts w:hint="eastAsia"/>
          <w:sz w:val="24"/>
          <w:lang w:val="da-DK" w:eastAsia="zh-CN"/>
        </w:rPr>
        <w:t>证</w:t>
      </w:r>
      <w:r>
        <w:rPr>
          <w:rFonts w:hint="eastAsia"/>
          <w:sz w:val="24"/>
          <w:lang w:val="da-DK"/>
        </w:rPr>
        <w:t>。</w:t>
      </w:r>
    </w:p>
    <w:p>
      <w:pPr>
        <w:tabs>
          <w:tab w:val="left" w:pos="1245"/>
        </w:tabs>
        <w:snapToGrid w:val="0"/>
        <w:spacing w:line="360" w:lineRule="auto"/>
        <w:ind w:firstLine="480" w:firstLineChars="200"/>
        <w:rPr>
          <w:color w:val="auto"/>
          <w:sz w:val="24"/>
          <w:lang w:val="da-DK"/>
        </w:rPr>
      </w:pPr>
      <w:r>
        <w:rPr>
          <w:color w:val="auto"/>
          <w:sz w:val="24"/>
          <w:lang w:val="da-DK"/>
        </w:rPr>
        <w:t>渭南高新区渭河洁能有限公司</w:t>
      </w:r>
      <w:r>
        <w:rPr>
          <w:rFonts w:hint="eastAsia"/>
          <w:color w:val="auto"/>
          <w:sz w:val="24"/>
          <w:lang w:val="da-DK"/>
        </w:rPr>
        <w:t>隶属于陕西渭河煤化工集团有限责任公司（简称渭化集团）</w:t>
      </w:r>
      <w:r>
        <w:rPr>
          <w:rFonts w:hint="eastAsia"/>
          <w:color w:val="auto"/>
          <w:sz w:val="24"/>
          <w:lang w:val="da-DK" w:eastAsia="zh-CN"/>
        </w:rPr>
        <w:t>，</w:t>
      </w:r>
      <w:r>
        <w:rPr>
          <w:color w:val="auto"/>
          <w:sz w:val="24"/>
          <w:lang w:val="da-DK"/>
        </w:rPr>
        <w:t>主要承担</w:t>
      </w:r>
      <w:r>
        <w:rPr>
          <w:rFonts w:hint="eastAsia"/>
          <w:color w:val="auto"/>
          <w:sz w:val="24"/>
          <w:lang w:val="da-DK" w:eastAsia="zh-CN"/>
        </w:rPr>
        <w:t>甲醇及甲醚的生产、</w:t>
      </w:r>
      <w:r>
        <w:rPr>
          <w:color w:val="auto"/>
          <w:sz w:val="24"/>
          <w:lang w:val="da-DK"/>
        </w:rPr>
        <w:t>渭化集团污水处理站的建设及运营。</w:t>
      </w:r>
    </w:p>
    <w:p>
      <w:pPr>
        <w:autoSpaceDE w:val="0"/>
        <w:autoSpaceDN w:val="0"/>
        <w:adjustRightInd w:val="0"/>
        <w:spacing w:line="360" w:lineRule="auto"/>
        <w:jc w:val="left"/>
        <w:rPr>
          <w:rFonts w:hint="eastAsia"/>
          <w:sz w:val="24"/>
          <w:lang w:val="en-US" w:eastAsia="zh-CN"/>
        </w:rPr>
      </w:pPr>
      <w:r>
        <w:rPr>
          <w:rFonts w:hint="eastAsia"/>
          <w:sz w:val="24"/>
          <w:lang w:val="en-US" w:eastAsia="zh-CN"/>
        </w:rPr>
        <w:t>1.2 污水处理装置概况</w:t>
      </w:r>
    </w:p>
    <w:p>
      <w:pPr>
        <w:autoSpaceDE w:val="0"/>
        <w:autoSpaceDN w:val="0"/>
        <w:adjustRightInd w:val="0"/>
        <w:spacing w:line="360" w:lineRule="auto"/>
        <w:ind w:firstLine="480" w:firstLineChars="200"/>
        <w:jc w:val="left"/>
        <w:rPr>
          <w:rFonts w:hint="eastAsia"/>
          <w:sz w:val="24"/>
          <w:lang w:eastAsia="zh-CN"/>
        </w:rPr>
      </w:pPr>
      <w:r>
        <w:rPr>
          <w:rFonts w:hint="eastAsia"/>
          <w:sz w:val="24"/>
          <w:lang w:eastAsia="zh-CN"/>
        </w:rPr>
        <w:t>渭化污水处理装置分为四期，分别为：</w:t>
      </w:r>
    </w:p>
    <w:p>
      <w:pPr>
        <w:pStyle w:val="5"/>
        <w:spacing w:line="360" w:lineRule="auto"/>
        <w:ind w:firstLine="480"/>
        <w:rPr>
          <w:rFonts w:hint="eastAsia"/>
          <w:b w:val="0"/>
          <w:bCs w:val="0"/>
          <w:sz w:val="24"/>
          <w:lang w:val="en-US" w:eastAsia="zh-CN"/>
        </w:rPr>
      </w:pPr>
      <w:r>
        <w:rPr>
          <w:rFonts w:hint="eastAsia"/>
          <w:b w:val="0"/>
          <w:bCs w:val="0"/>
          <w:sz w:val="24"/>
          <w:lang w:val="en-US" w:eastAsia="zh-CN"/>
        </w:rPr>
        <w:t>一期460装置始建于1995年4月，全套引进日本西源环境研究所研发的高氨氮废水处理新工艺（IC工艺），采用PLC自动工序控制，总投资1200万元，主要处理来自一期气化装置产生的高氨氮废水，设计处理能力23m</w:t>
      </w:r>
      <w:r>
        <w:rPr>
          <w:rFonts w:hint="eastAsia"/>
          <w:b w:val="0"/>
          <w:bCs w:val="0"/>
          <w:sz w:val="24"/>
          <w:vertAlign w:val="superscript"/>
          <w:lang w:val="en-US" w:eastAsia="zh-CN"/>
        </w:rPr>
        <w:t>3</w:t>
      </w:r>
      <w:r>
        <w:rPr>
          <w:rFonts w:hint="eastAsia"/>
          <w:b w:val="0"/>
          <w:bCs w:val="0"/>
          <w:sz w:val="24"/>
          <w:lang w:val="en-US" w:eastAsia="zh-CN"/>
        </w:rPr>
        <w:t>/h，实际处理能力为20m</w:t>
      </w:r>
      <w:r>
        <w:rPr>
          <w:rFonts w:hint="eastAsia"/>
          <w:b w:val="0"/>
          <w:bCs w:val="0"/>
          <w:sz w:val="24"/>
          <w:vertAlign w:val="superscript"/>
          <w:lang w:val="en-US" w:eastAsia="zh-CN"/>
        </w:rPr>
        <w:t>3</w:t>
      </w:r>
      <w:r>
        <w:rPr>
          <w:rFonts w:hint="eastAsia"/>
          <w:b w:val="0"/>
          <w:bCs w:val="0"/>
          <w:sz w:val="24"/>
          <w:lang w:val="en-US" w:eastAsia="zh-CN"/>
        </w:rPr>
        <w:t>/h。</w:t>
      </w:r>
    </w:p>
    <w:p>
      <w:pPr>
        <w:spacing w:line="360" w:lineRule="auto"/>
        <w:ind w:firstLine="480"/>
        <w:rPr>
          <w:rFonts w:hint="eastAsia"/>
          <w:b w:val="0"/>
          <w:bCs w:val="0"/>
          <w:sz w:val="24"/>
          <w:lang w:val="en-US" w:eastAsia="zh-CN"/>
        </w:rPr>
      </w:pPr>
      <w:r>
        <w:rPr>
          <w:rFonts w:hint="eastAsia" w:ascii="宋体" w:hAnsi="宋体" w:eastAsia="宋体" w:cs="宋体"/>
          <w:sz w:val="24"/>
          <w:szCs w:val="24"/>
          <w:lang w:val="en-US" w:eastAsia="zh-CN"/>
        </w:rPr>
        <w:t>二期456装置</w:t>
      </w:r>
      <w:r>
        <w:rPr>
          <w:rFonts w:hint="eastAsia" w:ascii="宋体" w:hAnsi="宋体" w:cs="宋体"/>
          <w:sz w:val="24"/>
          <w:szCs w:val="24"/>
          <w:lang w:val="en-US" w:eastAsia="zh-CN"/>
        </w:rPr>
        <w:t>始建于2005年8月采用国内先进的改性SBR工艺，控制系统采用DCS集散控制技术，总投资约800万元，主要处理来自二期气化装置产生的高氨氮废水，甲醇装置产生的高COD废水，以及硫回收废水，设计处理能力60</w:t>
      </w:r>
      <w:r>
        <w:rPr>
          <w:rFonts w:hint="eastAsia"/>
          <w:b w:val="0"/>
          <w:bCs w:val="0"/>
          <w:sz w:val="24"/>
          <w:lang w:val="en-US" w:eastAsia="zh-CN"/>
        </w:rPr>
        <w:t>m</w:t>
      </w:r>
      <w:r>
        <w:rPr>
          <w:rFonts w:hint="eastAsia"/>
          <w:b w:val="0"/>
          <w:bCs w:val="0"/>
          <w:sz w:val="24"/>
          <w:vertAlign w:val="superscript"/>
          <w:lang w:val="en-US" w:eastAsia="zh-CN"/>
        </w:rPr>
        <w:t>3</w:t>
      </w:r>
      <w:r>
        <w:rPr>
          <w:rFonts w:hint="eastAsia"/>
          <w:b w:val="0"/>
          <w:bCs w:val="0"/>
          <w:sz w:val="24"/>
          <w:lang w:val="en-US" w:eastAsia="zh-CN"/>
        </w:rPr>
        <w:t>/h，实际处理能力为35m</w:t>
      </w:r>
      <w:r>
        <w:rPr>
          <w:rFonts w:hint="eastAsia"/>
          <w:b w:val="0"/>
          <w:bCs w:val="0"/>
          <w:sz w:val="24"/>
          <w:vertAlign w:val="superscript"/>
          <w:lang w:val="en-US" w:eastAsia="zh-CN"/>
        </w:rPr>
        <w:t>3</w:t>
      </w:r>
      <w:r>
        <w:rPr>
          <w:rFonts w:hint="eastAsia"/>
          <w:b w:val="0"/>
          <w:bCs w:val="0"/>
          <w:sz w:val="24"/>
          <w:lang w:val="en-US" w:eastAsia="zh-CN"/>
        </w:rPr>
        <w:t>/h。</w:t>
      </w:r>
    </w:p>
    <w:p>
      <w:pPr>
        <w:pStyle w:val="5"/>
        <w:spacing w:line="360" w:lineRule="auto"/>
        <w:ind w:firstLine="480"/>
        <w:rPr>
          <w:rFonts w:hint="eastAsia"/>
          <w:b w:val="0"/>
          <w:bCs w:val="0"/>
          <w:sz w:val="24"/>
          <w:lang w:val="en-US" w:eastAsia="zh-CN"/>
        </w:rPr>
      </w:pPr>
      <w:r>
        <w:rPr>
          <w:rFonts w:hint="eastAsia"/>
          <w:b w:val="0"/>
          <w:bCs w:val="0"/>
          <w:sz w:val="24"/>
          <w:lang w:val="en-US" w:eastAsia="zh-CN"/>
        </w:rPr>
        <w:t>三期460A装置建于2010年3月，工艺采取改性SBR工艺，控制系统采用DCS集散控制技术，总投资约3000万，主要处理来自三期气化装置产生的高氨氮废水，甲醇装置产生的高COD废水，以及硫回收废水，设计处理能力150m</w:t>
      </w:r>
      <w:r>
        <w:rPr>
          <w:rFonts w:hint="eastAsia"/>
          <w:b w:val="0"/>
          <w:bCs w:val="0"/>
          <w:sz w:val="24"/>
          <w:vertAlign w:val="superscript"/>
          <w:lang w:val="en-US" w:eastAsia="zh-CN"/>
        </w:rPr>
        <w:t>3</w:t>
      </w:r>
      <w:r>
        <w:rPr>
          <w:rFonts w:hint="eastAsia"/>
          <w:b w:val="0"/>
          <w:bCs w:val="0"/>
          <w:sz w:val="24"/>
          <w:lang w:val="en-US" w:eastAsia="zh-CN"/>
        </w:rPr>
        <w:t>/h，实际处理能力为80m</w:t>
      </w:r>
      <w:r>
        <w:rPr>
          <w:rFonts w:hint="eastAsia"/>
          <w:b w:val="0"/>
          <w:bCs w:val="0"/>
          <w:sz w:val="24"/>
          <w:vertAlign w:val="superscript"/>
          <w:lang w:val="en-US" w:eastAsia="zh-CN"/>
        </w:rPr>
        <w:t>3</w:t>
      </w:r>
      <w:r>
        <w:rPr>
          <w:rFonts w:hint="eastAsia"/>
          <w:b w:val="0"/>
          <w:bCs w:val="0"/>
          <w:sz w:val="24"/>
          <w:lang w:val="en-US" w:eastAsia="zh-CN"/>
        </w:rPr>
        <w:t>/h。</w:t>
      </w:r>
    </w:p>
    <w:p>
      <w:pPr>
        <w:spacing w:line="360" w:lineRule="auto"/>
        <w:ind w:firstLine="480"/>
        <w:rPr>
          <w:rFonts w:hint="eastAsia"/>
          <w:sz w:val="24"/>
          <w:szCs w:val="24"/>
          <w:lang w:val="en-US" w:eastAsia="zh-CN"/>
        </w:rPr>
      </w:pPr>
      <w:r>
        <w:rPr>
          <w:rFonts w:hint="eastAsia"/>
          <w:sz w:val="24"/>
          <w:szCs w:val="24"/>
          <w:lang w:val="en-US" w:eastAsia="zh-CN"/>
        </w:rPr>
        <w:t>以上三期工程分别于1988年12月、</w:t>
      </w:r>
      <w:r>
        <w:rPr>
          <w:rFonts w:hint="eastAsia"/>
          <w:sz w:val="24"/>
        </w:rPr>
        <w:t>2008年3月</w:t>
      </w:r>
      <w:r>
        <w:rPr>
          <w:rFonts w:hint="eastAsia"/>
          <w:sz w:val="24"/>
          <w:lang w:eastAsia="zh-CN"/>
        </w:rPr>
        <w:t>、</w:t>
      </w:r>
      <w:r>
        <w:rPr>
          <w:rFonts w:hint="eastAsia"/>
          <w:sz w:val="24"/>
        </w:rPr>
        <w:t>2017年5月</w:t>
      </w:r>
      <w:r>
        <w:rPr>
          <w:rFonts w:hint="eastAsia"/>
          <w:sz w:val="24"/>
          <w:lang w:eastAsia="zh-CN"/>
        </w:rPr>
        <w:t>随主体工程</w:t>
      </w:r>
      <w:r>
        <w:rPr>
          <w:rFonts w:hint="eastAsia"/>
          <w:sz w:val="24"/>
          <w:szCs w:val="24"/>
          <w:lang w:val="en-US" w:eastAsia="zh-CN"/>
        </w:rPr>
        <w:t>进行了竣工环境保护验收，并取得了竣工环境保护验收批复（见附件2）。</w:t>
      </w:r>
    </w:p>
    <w:p>
      <w:pPr>
        <w:pStyle w:val="5"/>
        <w:spacing w:line="360" w:lineRule="auto"/>
        <w:ind w:firstLine="480"/>
        <w:rPr>
          <w:rFonts w:hint="eastAsia"/>
          <w:b w:val="0"/>
          <w:bCs w:val="0"/>
          <w:sz w:val="24"/>
          <w:lang w:val="en-US" w:eastAsia="zh-CN"/>
        </w:rPr>
      </w:pPr>
      <w:r>
        <w:rPr>
          <w:rFonts w:hint="eastAsia"/>
          <w:b w:val="0"/>
          <w:bCs w:val="0"/>
          <w:sz w:val="24"/>
          <w:szCs w:val="24"/>
          <w:lang w:val="en-US" w:eastAsia="zh-CN"/>
        </w:rPr>
        <w:t>四期460B装置（本项目）</w:t>
      </w:r>
      <w:r>
        <w:rPr>
          <w:rFonts w:ascii="Times New Roman" w:hAnsi="Times New Roman" w:cs="Times New Roman"/>
          <w:b w:val="0"/>
          <w:bCs w:val="0"/>
          <w:sz w:val="24"/>
        </w:rPr>
        <w:t>总用地面积</w:t>
      </w:r>
      <w:r>
        <w:rPr>
          <w:rFonts w:hint="eastAsia" w:ascii="Times New Roman" w:hAnsi="Times New Roman" w:cs="Times New Roman"/>
          <w:b w:val="0"/>
          <w:bCs w:val="0"/>
          <w:color w:val="auto"/>
          <w:sz w:val="24"/>
          <w:lang w:val="en-US" w:eastAsia="zh-CN"/>
        </w:rPr>
        <w:t>10200</w:t>
      </w:r>
      <w:r>
        <w:rPr>
          <w:rFonts w:ascii="Times New Roman" w:hAnsi="Times New Roman" w:cs="Times New Roman"/>
          <w:b w:val="0"/>
          <w:bCs w:val="0"/>
          <w:color w:val="auto"/>
          <w:sz w:val="24"/>
        </w:rPr>
        <w:t>m</w:t>
      </w:r>
      <w:r>
        <w:rPr>
          <w:rFonts w:ascii="Times New Roman" w:hAnsi="Times New Roman" w:cs="Times New Roman"/>
          <w:b w:val="0"/>
          <w:bCs w:val="0"/>
          <w:color w:val="auto"/>
          <w:sz w:val="24"/>
          <w:vertAlign w:val="superscript"/>
        </w:rPr>
        <w:t>2</w:t>
      </w:r>
      <w:r>
        <w:rPr>
          <w:rFonts w:ascii="Times New Roman" w:hAnsi="Times New Roman" w:cs="Times New Roman"/>
          <w:b w:val="0"/>
          <w:bCs w:val="0"/>
          <w:color w:val="auto"/>
          <w:sz w:val="24"/>
        </w:rPr>
        <w:t>，总建筑面积</w:t>
      </w:r>
      <w:r>
        <w:rPr>
          <w:rFonts w:hint="eastAsia" w:ascii="Times New Roman" w:hAnsi="Times New Roman" w:cs="Times New Roman"/>
          <w:b w:val="0"/>
          <w:bCs w:val="0"/>
          <w:color w:val="auto"/>
          <w:sz w:val="24"/>
          <w:lang w:val="en-US" w:eastAsia="zh-CN"/>
        </w:rPr>
        <w:t>2000</w:t>
      </w:r>
      <w:r>
        <w:rPr>
          <w:rFonts w:ascii="Times New Roman" w:hAnsi="Times New Roman" w:cs="Times New Roman"/>
          <w:b w:val="0"/>
          <w:bCs w:val="0"/>
          <w:color w:val="auto"/>
          <w:sz w:val="24"/>
        </w:rPr>
        <w:t xml:space="preserve"> </w:t>
      </w:r>
      <w:r>
        <w:rPr>
          <w:rFonts w:ascii="Times New Roman" w:hAnsi="Times New Roman" w:cs="Times New Roman"/>
          <w:b w:val="0"/>
          <w:bCs w:val="0"/>
          <w:sz w:val="24"/>
        </w:rPr>
        <w:t>m</w:t>
      </w:r>
      <w:r>
        <w:rPr>
          <w:rFonts w:ascii="Times New Roman" w:hAnsi="Times New Roman" w:cs="Times New Roman"/>
          <w:b w:val="0"/>
          <w:bCs w:val="0"/>
          <w:sz w:val="24"/>
          <w:vertAlign w:val="superscript"/>
        </w:rPr>
        <w:t>2</w:t>
      </w:r>
      <w:r>
        <w:rPr>
          <w:rFonts w:ascii="Times New Roman" w:hAnsi="Times New Roman" w:cs="Times New Roman"/>
          <w:b w:val="0"/>
          <w:bCs w:val="0"/>
          <w:sz w:val="24"/>
        </w:rPr>
        <w:t>，建设地点位于</w:t>
      </w:r>
      <w:r>
        <w:rPr>
          <w:rFonts w:ascii="Times New Roman" w:hAnsi="Times New Roman" w:cs="Times New Roman"/>
          <w:b w:val="0"/>
          <w:bCs w:val="0"/>
          <w:sz w:val="24"/>
          <w:lang w:val="da-DK"/>
        </w:rPr>
        <w:t>陕西渭河煤化工集团有限责任公司（简称渭化集团）厂内</w:t>
      </w:r>
      <w:r>
        <w:rPr>
          <w:rFonts w:hint="eastAsia" w:ascii="Times New Roman" w:hAnsi="Times New Roman" w:cs="Times New Roman"/>
          <w:b w:val="0"/>
          <w:bCs w:val="0"/>
          <w:sz w:val="24"/>
          <w:lang w:val="da-DK" w:eastAsia="zh-CN"/>
        </w:rPr>
        <w:t>北侧，厂区</w:t>
      </w:r>
      <w:r>
        <w:rPr>
          <w:rFonts w:ascii="Times New Roman" w:hAnsi="Times New Roman" w:cs="Times New Roman"/>
          <w:b w:val="0"/>
          <w:bCs w:val="0"/>
          <w:color w:val="auto"/>
          <w:sz w:val="24"/>
          <w:lang w:val="da-DK"/>
        </w:rPr>
        <w:t>北临东风大街、东临新盛路、南临朝阳大街、西侧是广通南路</w:t>
      </w:r>
      <w:r>
        <w:rPr>
          <w:rFonts w:hint="eastAsia" w:ascii="Times New Roman" w:hAnsi="Times New Roman" w:cs="Times New Roman"/>
          <w:b w:val="0"/>
          <w:bCs w:val="0"/>
          <w:color w:val="auto"/>
          <w:sz w:val="24"/>
          <w:lang w:val="da-DK" w:eastAsia="zh-CN"/>
        </w:rPr>
        <w:t>，本项目北临北厂界，东临生活垃圾及危废暂存处，南临厂区道路，西临循环水冷却塔</w:t>
      </w:r>
      <w:r>
        <w:rPr>
          <w:rFonts w:ascii="Times New Roman" w:hAnsi="Times New Roman" w:cs="Times New Roman"/>
          <w:b w:val="0"/>
          <w:bCs w:val="0"/>
          <w:color w:val="auto"/>
          <w:sz w:val="24"/>
        </w:rPr>
        <w:t>。</w:t>
      </w:r>
      <w:r>
        <w:rPr>
          <w:rFonts w:hint="eastAsia" w:ascii="Times New Roman" w:hAnsi="Times New Roman" w:cs="Times New Roman"/>
          <w:b w:val="0"/>
          <w:bCs w:val="0"/>
          <w:sz w:val="24"/>
          <w:lang w:eastAsia="zh-CN"/>
        </w:rPr>
        <w:t>项目</w:t>
      </w:r>
      <w:r>
        <w:rPr>
          <w:rFonts w:hint="eastAsia"/>
          <w:b w:val="0"/>
          <w:bCs w:val="0"/>
          <w:sz w:val="24"/>
          <w:szCs w:val="24"/>
          <w:lang w:val="en-US" w:eastAsia="zh-CN"/>
        </w:rPr>
        <w:t>始建于2016年5月，工艺采用改性SBR工艺，控制系统采用DCS集散控制技术，总投资4713万元，主要处理来自三期气化装置产生的高氨氮废水，含硫回收废水以及双醋废水（备用），设计总处理能力220</w:t>
      </w:r>
      <w:r>
        <w:rPr>
          <w:rFonts w:hint="eastAsia"/>
          <w:b w:val="0"/>
          <w:bCs w:val="0"/>
          <w:sz w:val="24"/>
          <w:lang w:val="en-US" w:eastAsia="zh-CN"/>
        </w:rPr>
        <w:t>m</w:t>
      </w:r>
      <w:r>
        <w:rPr>
          <w:rFonts w:hint="eastAsia"/>
          <w:b w:val="0"/>
          <w:bCs w:val="0"/>
          <w:sz w:val="24"/>
          <w:vertAlign w:val="superscript"/>
          <w:lang w:val="en-US" w:eastAsia="zh-CN"/>
        </w:rPr>
        <w:t>3</w:t>
      </w:r>
      <w:r>
        <w:rPr>
          <w:rFonts w:hint="eastAsia"/>
          <w:b w:val="0"/>
          <w:bCs w:val="0"/>
          <w:sz w:val="24"/>
          <w:lang w:val="en-US" w:eastAsia="zh-CN"/>
        </w:rPr>
        <w:t>/h，其中气化废水处理能力</w:t>
      </w:r>
      <w:r>
        <w:rPr>
          <w:rFonts w:hint="eastAsia"/>
          <w:b w:val="0"/>
          <w:bCs w:val="0"/>
          <w:sz w:val="24"/>
          <w:szCs w:val="24"/>
          <w:lang w:val="en-US" w:eastAsia="zh-CN"/>
        </w:rPr>
        <w:t>155</w:t>
      </w:r>
      <w:r>
        <w:rPr>
          <w:rFonts w:hint="eastAsia"/>
          <w:b w:val="0"/>
          <w:bCs w:val="0"/>
          <w:sz w:val="24"/>
          <w:lang w:val="en-US" w:eastAsia="zh-CN"/>
        </w:rPr>
        <w:t>m</w:t>
      </w:r>
      <w:r>
        <w:rPr>
          <w:rFonts w:hint="eastAsia"/>
          <w:b w:val="0"/>
          <w:bCs w:val="0"/>
          <w:sz w:val="24"/>
          <w:vertAlign w:val="superscript"/>
          <w:lang w:val="en-US" w:eastAsia="zh-CN"/>
        </w:rPr>
        <w:t>3</w:t>
      </w:r>
      <w:r>
        <w:rPr>
          <w:rFonts w:hint="eastAsia"/>
          <w:b w:val="0"/>
          <w:bCs w:val="0"/>
          <w:sz w:val="24"/>
          <w:lang w:val="en-US" w:eastAsia="zh-CN"/>
        </w:rPr>
        <w:t>/h。气化废水进入废水处理装置后，先经过预处理单元絮凝、混凝、沉淀除钙后，进入SBR生化反应池，经硝化反硝化进行生物脱氮反应；甲醇废水则作为生化反应过程中的补充碳源和营养物质直接进入SBR生化反应池，经生化处理水质达到《黄河流域（陕西段）污水综合排放标准》（DB61/224-2011）后排放，同时，在预处理及生化处理过程中所产生的少量污泥，则由污泥系统进行干化处理。</w:t>
      </w:r>
    </w:p>
    <w:p>
      <w:pPr>
        <w:spacing w:line="360" w:lineRule="auto"/>
        <w:rPr>
          <w:rFonts w:hint="eastAsia" w:eastAsia="宋体"/>
          <w:lang w:val="en-US" w:eastAsia="zh-CN"/>
        </w:rPr>
      </w:pPr>
      <w:r>
        <w:rPr>
          <w:rFonts w:hint="eastAsia"/>
          <w:b w:val="0"/>
          <w:bCs w:val="0"/>
          <w:sz w:val="24"/>
          <w:lang w:val="en-US" w:eastAsia="zh-CN"/>
        </w:rPr>
        <w:t xml:space="preserve">    本项目</w:t>
      </w:r>
      <w:r>
        <w:rPr>
          <w:rFonts w:hint="eastAsia"/>
          <w:sz w:val="24"/>
        </w:rPr>
        <w:t>行业类别：D4620污水处理及其再生利用</w:t>
      </w:r>
      <w:r>
        <w:rPr>
          <w:rFonts w:hint="eastAsia"/>
          <w:sz w:val="24"/>
          <w:lang w:eastAsia="zh-CN"/>
        </w:rPr>
        <w:t>。</w:t>
      </w:r>
    </w:p>
    <w:p>
      <w:pPr>
        <w:autoSpaceDE w:val="0"/>
        <w:autoSpaceDN w:val="0"/>
        <w:adjustRightInd w:val="0"/>
        <w:spacing w:line="360" w:lineRule="auto"/>
        <w:jc w:val="left"/>
        <w:rPr>
          <w:rFonts w:hint="eastAsia" w:ascii="Times New Roman" w:hAnsi="Times New Roman" w:eastAsia="宋体" w:cs="Times New Roman"/>
          <w:sz w:val="24"/>
          <w:lang w:val="en-US" w:eastAsia="zh-CN"/>
        </w:rPr>
      </w:pPr>
      <w:r>
        <w:rPr>
          <w:rFonts w:hint="eastAsia" w:ascii="Times New Roman" w:hAnsi="Times New Roman" w:cs="Times New Roman"/>
          <w:sz w:val="24"/>
          <w:lang w:val="en-US" w:eastAsia="zh-CN"/>
        </w:rPr>
        <w:t>1.3 本项目环评及验收历程</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sz w:val="24"/>
        </w:rPr>
        <w:t>渭南高新区渭河洁能有限公司于201</w:t>
      </w:r>
      <w:r>
        <w:rPr>
          <w:rFonts w:hint="eastAsia" w:ascii="Times New Roman" w:hAnsi="Times New Roman" w:cs="Times New Roman"/>
          <w:sz w:val="24"/>
          <w:lang w:val="en-US" w:eastAsia="zh-CN"/>
        </w:rPr>
        <w:t>5</w:t>
      </w:r>
      <w:r>
        <w:rPr>
          <w:rFonts w:ascii="Times New Roman" w:hAnsi="Times New Roman" w:cs="Times New Roman"/>
          <w:sz w:val="24"/>
        </w:rPr>
        <w:t>年</w:t>
      </w:r>
      <w:r>
        <w:rPr>
          <w:rFonts w:hint="eastAsia" w:ascii="Times New Roman" w:hAnsi="Times New Roman" w:cs="Times New Roman"/>
          <w:sz w:val="24"/>
          <w:lang w:val="en-US" w:eastAsia="zh-CN"/>
        </w:rPr>
        <w:t>12</w:t>
      </w:r>
      <w:r>
        <w:rPr>
          <w:rFonts w:ascii="Times New Roman" w:hAnsi="Times New Roman" w:cs="Times New Roman"/>
          <w:sz w:val="24"/>
        </w:rPr>
        <w:t>月委托</w:t>
      </w:r>
      <w:r>
        <w:rPr>
          <w:rFonts w:hint="eastAsia" w:ascii="Times New Roman" w:hAnsi="Times New Roman" w:cs="Times New Roman"/>
          <w:sz w:val="24"/>
          <w:lang w:eastAsia="zh-CN"/>
        </w:rPr>
        <w:t>陕西企科环境技术有限公司</w:t>
      </w:r>
      <w:r>
        <w:rPr>
          <w:rFonts w:ascii="Times New Roman" w:hAnsi="Times New Roman" w:cs="Times New Roman"/>
          <w:sz w:val="24"/>
        </w:rPr>
        <w:t>编制完成了《</w:t>
      </w:r>
      <w:r>
        <w:rPr>
          <w:sz w:val="24"/>
          <w:szCs w:val="20"/>
        </w:rPr>
        <w:t>废水处理及中水回用系统扩能改造项目</w:t>
      </w:r>
      <w:r>
        <w:rPr>
          <w:sz w:val="24"/>
        </w:rPr>
        <w:t>环境影响报告书</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年</w:t>
      </w:r>
      <w:r>
        <w:rPr>
          <w:rFonts w:hint="eastAsia" w:ascii="Times New Roman" w:hAnsi="Times New Roman" w:cs="Times New Roman"/>
          <w:sz w:val="24"/>
          <w:lang w:val="en-US" w:eastAsia="zh-CN"/>
        </w:rPr>
        <w:t>3</w:t>
      </w:r>
      <w:r>
        <w:rPr>
          <w:rFonts w:ascii="Times New Roman" w:hAnsi="Times New Roman" w:cs="Times New Roman"/>
          <w:sz w:val="24"/>
        </w:rPr>
        <w:t>月</w:t>
      </w:r>
      <w:r>
        <w:rPr>
          <w:rFonts w:hint="eastAsia" w:ascii="Times New Roman" w:hAnsi="Times New Roman" w:cs="Times New Roman"/>
          <w:sz w:val="24"/>
          <w:lang w:eastAsia="zh-CN"/>
        </w:rPr>
        <w:t>渭南市环境保护局高新区分局</w:t>
      </w:r>
      <w:r>
        <w:rPr>
          <w:rFonts w:ascii="Times New Roman" w:hAnsi="Times New Roman" w:cs="Times New Roman"/>
          <w:sz w:val="24"/>
        </w:rPr>
        <w:t>对本项目环境影响报告书</w:t>
      </w:r>
      <w:r>
        <w:rPr>
          <w:rFonts w:hint="eastAsia" w:ascii="Times New Roman" w:hAnsi="Times New Roman" w:cs="Times New Roman"/>
          <w:sz w:val="24"/>
          <w:lang w:eastAsia="zh-CN"/>
        </w:rPr>
        <w:t>取得</w:t>
      </w:r>
      <w:r>
        <w:rPr>
          <w:rFonts w:ascii="Times New Roman" w:hAnsi="Times New Roman" w:cs="Times New Roman"/>
          <w:sz w:val="24"/>
        </w:rPr>
        <w:t>了批复（</w:t>
      </w:r>
      <w:r>
        <w:rPr>
          <w:rFonts w:hint="eastAsia" w:ascii="Times New Roman" w:hAnsi="Times New Roman" w:cs="Times New Roman"/>
          <w:sz w:val="24"/>
          <w:lang w:eastAsia="zh-CN"/>
        </w:rPr>
        <w:t>渭高环审</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sz w:val="24"/>
          <w:lang w:val="en-US" w:eastAsia="zh-CN"/>
        </w:rPr>
        <w:t>3</w:t>
      </w:r>
      <w:r>
        <w:rPr>
          <w:rFonts w:ascii="Times New Roman" w:hAnsi="Times New Roman" w:cs="Times New Roman"/>
          <w:sz w:val="24"/>
        </w:rPr>
        <w:t>号）。本项目于</w:t>
      </w:r>
      <w:r>
        <w:rPr>
          <w:rFonts w:ascii="Times New Roman" w:hAnsi="Times New Roman" w:cs="Times New Roman"/>
          <w:color w:val="auto"/>
          <w:sz w:val="24"/>
        </w:rPr>
        <w:t>201</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1</w:t>
      </w:r>
      <w:r>
        <w:rPr>
          <w:rFonts w:ascii="Times New Roman" w:hAnsi="Times New Roman" w:cs="Times New Roman"/>
          <w:color w:val="auto"/>
          <w:sz w:val="24"/>
        </w:rPr>
        <w:t>月开工建设，201</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年</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月完</w:t>
      </w:r>
      <w:r>
        <w:rPr>
          <w:rFonts w:ascii="Times New Roman" w:hAnsi="Times New Roman" w:cs="Times New Roman"/>
          <w:sz w:val="24"/>
        </w:rPr>
        <w:t>工</w:t>
      </w:r>
      <w:r>
        <w:rPr>
          <w:rFonts w:hint="eastAsia" w:ascii="Times New Roman" w:hAnsi="Times New Roman" w:cs="Times New Roman"/>
          <w:sz w:val="24"/>
          <w:lang w:eastAsia="zh-CN"/>
        </w:rPr>
        <w:t>，</w:t>
      </w:r>
      <w:r>
        <w:rPr>
          <w:rFonts w:hint="eastAsia" w:ascii="Times New Roman" w:hAnsi="Times New Roman" w:cs="Times New Roman"/>
          <w:color w:val="auto"/>
          <w:sz w:val="24"/>
          <w:lang w:val="en-US" w:eastAsia="zh-CN"/>
        </w:rPr>
        <w:t>2017年8月</w:t>
      </w:r>
      <w:r>
        <w:rPr>
          <w:rFonts w:hint="eastAsia" w:ascii="Times New Roman" w:hAnsi="Times New Roman" w:cs="Times New Roman"/>
          <w:color w:val="auto"/>
          <w:sz w:val="24"/>
          <w:lang w:eastAsia="zh-CN"/>
        </w:rPr>
        <w:t>投入运行。</w:t>
      </w:r>
    </w:p>
    <w:p>
      <w:pPr>
        <w:keepNext w:val="0"/>
        <w:keepLines w:val="0"/>
        <w:pageBreakBefore w:val="0"/>
        <w:widowControl w:val="0"/>
        <w:tabs>
          <w:tab w:val="left" w:pos="2920"/>
        </w:tabs>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lang w:val="en-US" w:eastAsia="zh-CN"/>
        </w:rPr>
        <w:t>2018年11月，</w:t>
      </w:r>
      <w:r>
        <w:rPr>
          <w:rFonts w:hint="eastAsia" w:ascii="宋体" w:hAnsi="宋体" w:eastAsia="宋体" w:cs="宋体"/>
          <w:b w:val="0"/>
          <w:bCs w:val="0"/>
          <w:sz w:val="24"/>
          <w:szCs w:val="24"/>
        </w:rPr>
        <w:t>受渭南高新区渭河洁能有限公司委托，我公司承担本项目的竣工环保验收监测报告编制工作。经过对本项目进行实地勘察，根据现场勘察情况以及环保验收的有关技术规范，并结合建设单位提供的相关技术资料，我公司编制了本项目的验收监测方案。</w:t>
      </w:r>
      <w:r>
        <w:rPr>
          <w:rFonts w:hint="eastAsia" w:ascii="宋体" w:hAnsi="宋体" w:eastAsia="宋体" w:cs="宋体"/>
          <w:b w:val="0"/>
          <w:bCs w:val="0"/>
          <w:color w:val="auto"/>
          <w:sz w:val="24"/>
          <w:szCs w:val="24"/>
        </w:rPr>
        <w:t>2018年</w:t>
      </w:r>
      <w:r>
        <w:rPr>
          <w:rFonts w:hint="eastAsia" w:ascii="宋体" w:hAnsi="宋体" w:eastAsia="宋体" w:cs="宋体"/>
          <w:b w:val="0"/>
          <w:bCs w:val="0"/>
          <w:color w:val="auto"/>
          <w:sz w:val="24"/>
          <w:szCs w:val="24"/>
          <w:lang w:val="en-US" w:eastAsia="zh-CN"/>
        </w:rPr>
        <w:t>11</w:t>
      </w:r>
      <w:r>
        <w:rPr>
          <w:rFonts w:hint="eastAsia" w:ascii="宋体" w:hAnsi="宋体" w:eastAsia="宋体" w:cs="宋体"/>
          <w:b w:val="0"/>
          <w:bCs w:val="0"/>
          <w:color w:val="auto"/>
          <w:sz w:val="24"/>
          <w:szCs w:val="24"/>
        </w:rPr>
        <w:t>月</w:t>
      </w:r>
      <w:r>
        <w:rPr>
          <w:rFonts w:hint="eastAsia" w:ascii="宋体" w:hAnsi="宋体" w:eastAsia="宋体" w:cs="宋体"/>
          <w:b w:val="0"/>
          <w:bCs w:val="0"/>
          <w:color w:val="auto"/>
          <w:sz w:val="24"/>
          <w:szCs w:val="24"/>
          <w:lang w:val="en-US" w:eastAsia="zh-CN"/>
        </w:rPr>
        <w:t>14</w:t>
      </w:r>
      <w:r>
        <w:rPr>
          <w:rFonts w:hint="eastAsia" w:ascii="宋体" w:hAnsi="宋体" w:eastAsia="宋体" w:cs="宋体"/>
          <w:b w:val="0"/>
          <w:bCs w:val="0"/>
          <w:color w:val="auto"/>
          <w:sz w:val="24"/>
          <w:szCs w:val="24"/>
        </w:rPr>
        <w:t>～1</w:t>
      </w:r>
      <w:r>
        <w:rPr>
          <w:rFonts w:hint="eastAsia" w:ascii="宋体" w:hAnsi="宋体" w:eastAsia="宋体" w:cs="宋体"/>
          <w:b w:val="0"/>
          <w:bCs w:val="0"/>
          <w:color w:val="auto"/>
          <w:sz w:val="24"/>
          <w:szCs w:val="24"/>
          <w:lang w:val="en-US" w:eastAsia="zh-CN"/>
        </w:rPr>
        <w:t>5</w:t>
      </w:r>
      <w:r>
        <w:rPr>
          <w:rFonts w:hint="eastAsia" w:ascii="宋体" w:hAnsi="宋体" w:eastAsia="宋体" w:cs="宋体"/>
          <w:b w:val="0"/>
          <w:bCs w:val="0"/>
          <w:color w:val="auto"/>
          <w:sz w:val="24"/>
          <w:szCs w:val="24"/>
        </w:rPr>
        <w:t>日，</w:t>
      </w:r>
      <w:r>
        <w:rPr>
          <w:rFonts w:hint="eastAsia" w:ascii="宋体" w:hAnsi="宋体" w:eastAsia="宋体" w:cs="宋体"/>
          <w:b w:val="0"/>
          <w:bCs w:val="0"/>
          <w:color w:val="auto"/>
          <w:sz w:val="24"/>
          <w:szCs w:val="24"/>
          <w:lang w:eastAsia="zh-CN"/>
        </w:rPr>
        <w:t>陕西阔成环境检测有限公司</w:t>
      </w:r>
      <w:r>
        <w:rPr>
          <w:rFonts w:hint="eastAsia" w:ascii="宋体" w:hAnsi="宋体" w:eastAsia="宋体" w:cs="宋体"/>
          <w:b w:val="0"/>
          <w:bCs w:val="0"/>
          <w:color w:val="auto"/>
          <w:sz w:val="24"/>
          <w:szCs w:val="24"/>
        </w:rPr>
        <w:t>对本项目</w:t>
      </w:r>
      <w:r>
        <w:rPr>
          <w:rFonts w:hint="eastAsia" w:ascii="宋体" w:hAnsi="宋体" w:eastAsia="宋体" w:cs="宋体"/>
          <w:b w:val="0"/>
          <w:bCs w:val="0"/>
          <w:color w:val="auto"/>
          <w:sz w:val="24"/>
          <w:szCs w:val="24"/>
          <w:lang w:eastAsia="zh-CN"/>
        </w:rPr>
        <w:t>废水及地下水</w:t>
      </w:r>
      <w:r>
        <w:rPr>
          <w:rFonts w:hint="eastAsia" w:ascii="宋体" w:hAnsi="宋体" w:eastAsia="宋体" w:cs="宋体"/>
          <w:b w:val="0"/>
          <w:bCs w:val="0"/>
          <w:color w:val="auto"/>
          <w:sz w:val="24"/>
          <w:szCs w:val="24"/>
        </w:rPr>
        <w:t>进行了现场验收监测工作，2018年</w:t>
      </w:r>
      <w:r>
        <w:rPr>
          <w:rFonts w:hint="eastAsia" w:ascii="宋体" w:hAnsi="宋体" w:eastAsia="宋体" w:cs="宋体"/>
          <w:b w:val="0"/>
          <w:bCs w:val="0"/>
          <w:color w:val="auto"/>
          <w:sz w:val="24"/>
          <w:szCs w:val="24"/>
          <w:lang w:val="en-US" w:eastAsia="zh-CN"/>
        </w:rPr>
        <w:t>11</w:t>
      </w:r>
      <w:r>
        <w:rPr>
          <w:rFonts w:hint="eastAsia" w:ascii="宋体" w:hAnsi="宋体" w:eastAsia="宋体" w:cs="宋体"/>
          <w:b w:val="0"/>
          <w:bCs w:val="0"/>
          <w:color w:val="auto"/>
          <w:sz w:val="24"/>
          <w:szCs w:val="24"/>
        </w:rPr>
        <w:t>月</w:t>
      </w:r>
      <w:r>
        <w:rPr>
          <w:rFonts w:hint="eastAsia" w:ascii="宋体" w:hAnsi="宋体" w:eastAsia="宋体" w:cs="宋体"/>
          <w:b w:val="0"/>
          <w:bCs w:val="0"/>
          <w:color w:val="auto"/>
          <w:sz w:val="24"/>
          <w:szCs w:val="24"/>
          <w:lang w:val="en-US" w:eastAsia="zh-CN"/>
        </w:rPr>
        <w:t>24</w:t>
      </w:r>
      <w:r>
        <w:rPr>
          <w:rFonts w:hint="eastAsia" w:ascii="宋体" w:hAnsi="宋体" w:eastAsia="宋体" w:cs="宋体"/>
          <w:b w:val="0"/>
          <w:bCs w:val="0"/>
          <w:color w:val="auto"/>
          <w:sz w:val="24"/>
          <w:szCs w:val="24"/>
        </w:rPr>
        <w:t>～</w:t>
      </w:r>
      <w:r>
        <w:rPr>
          <w:rFonts w:hint="eastAsia" w:ascii="宋体" w:hAnsi="宋体" w:eastAsia="宋体" w:cs="宋体"/>
          <w:b w:val="0"/>
          <w:bCs w:val="0"/>
          <w:color w:val="auto"/>
          <w:sz w:val="24"/>
          <w:szCs w:val="24"/>
          <w:lang w:val="en-US" w:eastAsia="zh-CN"/>
        </w:rPr>
        <w:t>25</w:t>
      </w:r>
      <w:r>
        <w:rPr>
          <w:rFonts w:hint="eastAsia" w:ascii="宋体" w:hAnsi="宋体" w:eastAsia="宋体" w:cs="宋体"/>
          <w:b w:val="0"/>
          <w:bCs w:val="0"/>
          <w:color w:val="auto"/>
          <w:sz w:val="24"/>
          <w:szCs w:val="24"/>
        </w:rPr>
        <w:t>日，</w:t>
      </w:r>
      <w:r>
        <w:rPr>
          <w:rFonts w:hint="eastAsia" w:ascii="宋体" w:hAnsi="宋体" w:eastAsia="宋体" w:cs="宋体"/>
          <w:b w:val="0"/>
          <w:bCs w:val="0"/>
          <w:color w:val="auto"/>
          <w:sz w:val="24"/>
          <w:szCs w:val="24"/>
          <w:lang w:val="en-US" w:eastAsia="zh-CN"/>
        </w:rPr>
        <w:t>西安普惠环境检测技术有限公司</w:t>
      </w:r>
      <w:r>
        <w:rPr>
          <w:rFonts w:hint="eastAsia" w:ascii="宋体" w:hAnsi="宋体" w:eastAsia="宋体" w:cs="宋体"/>
          <w:b w:val="0"/>
          <w:bCs w:val="0"/>
          <w:color w:val="auto"/>
          <w:sz w:val="24"/>
          <w:szCs w:val="24"/>
        </w:rPr>
        <w:t>对本项目</w:t>
      </w:r>
      <w:r>
        <w:rPr>
          <w:rFonts w:hint="eastAsia" w:ascii="宋体" w:hAnsi="宋体" w:cs="宋体"/>
          <w:b w:val="0"/>
          <w:bCs w:val="0"/>
          <w:color w:val="auto"/>
          <w:sz w:val="24"/>
          <w:szCs w:val="24"/>
          <w:lang w:eastAsia="zh-CN"/>
        </w:rPr>
        <w:t>无组织废气</w:t>
      </w:r>
      <w:r>
        <w:rPr>
          <w:rFonts w:hint="eastAsia" w:ascii="宋体" w:hAnsi="宋体" w:eastAsia="宋体" w:cs="宋体"/>
          <w:b w:val="0"/>
          <w:bCs w:val="0"/>
          <w:color w:val="auto"/>
          <w:sz w:val="24"/>
          <w:szCs w:val="24"/>
        </w:rPr>
        <w:t>进行了现场验收监测工作，根据实地调查及监测结果，我公司编制了本次验收</w:t>
      </w:r>
      <w:r>
        <w:rPr>
          <w:rFonts w:hint="eastAsia" w:ascii="宋体" w:hAnsi="宋体" w:eastAsia="宋体" w:cs="宋体"/>
          <w:b w:val="0"/>
          <w:bCs w:val="0"/>
          <w:sz w:val="24"/>
          <w:szCs w:val="24"/>
        </w:rPr>
        <w:t>监测报告。</w:t>
      </w:r>
    </w:p>
    <w:p>
      <w:pPr>
        <w:pStyle w:val="4"/>
        <w:jc w:val="both"/>
        <w:rPr>
          <w:rFonts w:cs="Times New Roman"/>
          <w:sz w:val="28"/>
          <w:szCs w:val="28"/>
        </w:rPr>
      </w:pPr>
      <w:r>
        <w:rPr>
          <w:rFonts w:cs="Times New Roman"/>
          <w:sz w:val="28"/>
        </w:rPr>
        <w:br w:type="page"/>
      </w:r>
      <w:bookmarkEnd w:id="1"/>
      <w:bookmarkEnd w:id="2"/>
      <w:bookmarkEnd w:id="3"/>
      <w:bookmarkStart w:id="4" w:name="_Toc29667"/>
      <w:r>
        <w:rPr>
          <w:rFonts w:cs="Times New Roman"/>
          <w:sz w:val="28"/>
          <w:szCs w:val="28"/>
        </w:rPr>
        <w:t>2 验收依据</w:t>
      </w:r>
      <w:bookmarkEnd w:id="4"/>
    </w:p>
    <w:p>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2.1建设项目环境保护相关法律、法规和规章制度</w:t>
      </w:r>
    </w:p>
    <w:p>
      <w:pPr>
        <w:adjustRightInd w:val="0"/>
        <w:snapToGrid w:val="0"/>
        <w:spacing w:line="360" w:lineRule="auto"/>
        <w:ind w:firstLine="480" w:firstLineChars="200"/>
        <w:rPr>
          <w:rFonts w:ascii="Times New Roman" w:hAnsi="Times New Roman" w:cs="Times New Roman"/>
          <w:sz w:val="24"/>
        </w:rPr>
      </w:pPr>
      <w:r>
        <w:rPr>
          <w:rFonts w:ascii="Times New Roman" w:hAnsi="Times New Roman" w:cs="Times New Roman"/>
          <w:sz w:val="24"/>
        </w:rPr>
        <w:t>（1）《中华人民共和国环境保护法》（2015年1月1日）；</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（2）《陕西省环境保护厅建设项目环境管理规程》（陕环发〔2010〕38号）；</w:t>
      </w:r>
    </w:p>
    <w:p>
      <w:pPr>
        <w:spacing w:line="360" w:lineRule="auto"/>
        <w:ind w:firstLine="480" w:firstLineChars="200"/>
        <w:rPr>
          <w:rFonts w:hint="eastAsia" w:ascii="Times New Roman" w:hAnsi="Times New Roman" w:eastAsia="宋体" w:cs="Times New Roman"/>
          <w:sz w:val="24"/>
          <w:lang w:eastAsia="zh-CN"/>
        </w:rPr>
      </w:pPr>
      <w:r>
        <w:rPr>
          <w:rFonts w:ascii="Times New Roman" w:hAnsi="Times New Roman" w:cs="Times New Roman"/>
          <w:sz w:val="24"/>
        </w:rPr>
        <w:t>（3）国务院关于修改《建设项目环境保护管理条例》的决定（国令第682号）</w:t>
      </w:r>
      <w:r>
        <w:rPr>
          <w:rFonts w:hint="eastAsia" w:ascii="Times New Roman" w:hAnsi="Times New Roman" w:cs="Times New Roman"/>
          <w:sz w:val="24"/>
          <w:lang w:eastAsia="zh-CN"/>
        </w:rPr>
        <w:t>。</w:t>
      </w:r>
    </w:p>
    <w:p>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2.2建设项目竣工环境保护验收技术规范</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（1）《建设项目竣工环境保护验收管理办法》（国家环境保护总局令第13号，2001.12.27发布，2002.2.1起实施）；</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（2）关于发布《建设项目竣工环境保护验收暂行办法》的公告（国环规环评[2017]4号）；</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bCs/>
          <w:sz w:val="24"/>
        </w:rPr>
        <w:t>关于发布《建设项目竣工环境保护验收技术指南 污染影响类》的公告</w:t>
      </w:r>
      <w:r>
        <w:rPr>
          <w:rFonts w:ascii="Times New Roman" w:hAnsi="Times New Roman" w:cs="Times New Roman"/>
          <w:sz w:val="24"/>
        </w:rPr>
        <w:t>（公告2018年第9号）；</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（4）《关于加强建设项目竣工环境保护验收监测工作中污染事故防范环境管理检查工作的通知》（中国环境监测总站，总站验字〔2005〕188号）；</w:t>
      </w:r>
    </w:p>
    <w:p>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2.3建设项目环境影响报告书及其审批决定</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（1）《渭南高新区渭河洁能有限公司废水处理及中水回用系统扩能改造项目》（</w:t>
      </w:r>
      <w:r>
        <w:rPr>
          <w:rFonts w:hint="eastAsia" w:ascii="Times New Roman" w:hAnsi="Times New Roman" w:cs="Times New Roman"/>
          <w:sz w:val="24"/>
          <w:lang w:eastAsia="zh-CN"/>
        </w:rPr>
        <w:t>陕西企科环境技术有限公司</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sz w:val="24"/>
          <w:lang w:val="en-US" w:eastAsia="zh-CN"/>
        </w:rPr>
        <w:t>2</w:t>
      </w:r>
      <w:r>
        <w:rPr>
          <w:rFonts w:ascii="Times New Roman" w:hAnsi="Times New Roman" w:cs="Times New Roman"/>
          <w:sz w:val="24"/>
        </w:rPr>
        <w:t>.</w:t>
      </w:r>
      <w:r>
        <w:rPr>
          <w:rFonts w:hint="eastAsia" w:ascii="Times New Roman" w:hAnsi="Times New Roman" w:cs="Times New Roman"/>
          <w:sz w:val="24"/>
          <w:lang w:val="en-US" w:eastAsia="zh-CN"/>
        </w:rPr>
        <w:t>26</w:t>
      </w:r>
      <w:r>
        <w:rPr>
          <w:rFonts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w:t>
      </w:r>
      <w:r>
        <w:rPr>
          <w:rFonts w:hint="eastAsia" w:ascii="Times New Roman" w:hAnsi="Times New Roman" w:cs="Times New Roman"/>
          <w:sz w:val="24"/>
          <w:lang w:eastAsia="zh-CN"/>
        </w:rPr>
        <w:t>渭南市环境保护局高新区分局</w:t>
      </w:r>
      <w:r>
        <w:rPr>
          <w:rFonts w:ascii="Times New Roman" w:hAnsi="Times New Roman" w:cs="Times New Roman"/>
          <w:sz w:val="24"/>
        </w:rPr>
        <w:t>《</w:t>
      </w:r>
      <w:r>
        <w:rPr>
          <w:rFonts w:hint="eastAsia" w:ascii="Times New Roman" w:hAnsi="Times New Roman" w:cs="Times New Roman"/>
          <w:sz w:val="24"/>
          <w:lang w:eastAsia="zh-CN"/>
        </w:rPr>
        <w:t>关于渭南高新区渭河洁能有限公司废水处理及中水回用系统扩能改造项目环境影响报告书审批意见</w:t>
      </w:r>
      <w:r>
        <w:rPr>
          <w:rFonts w:ascii="Times New Roman" w:hAnsi="Times New Roman" w:cs="Times New Roman"/>
          <w:sz w:val="24"/>
        </w:rPr>
        <w:t>》</w:t>
      </w:r>
      <w:r>
        <w:rPr>
          <w:rFonts w:hint="eastAsia" w:ascii="Times New Roman" w:hAnsi="Times New Roman" w:cs="Times New Roman"/>
          <w:sz w:val="24"/>
          <w:lang w:eastAsia="zh-CN"/>
        </w:rPr>
        <w:t>渭高环审</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sz w:val="24"/>
          <w:lang w:val="en-US" w:eastAsia="zh-CN"/>
        </w:rPr>
        <w:t>3</w:t>
      </w:r>
      <w:r>
        <w:rPr>
          <w:rFonts w:ascii="Times New Roman" w:hAnsi="Times New Roman" w:cs="Times New Roman"/>
          <w:sz w:val="24"/>
        </w:rPr>
        <w:t>号</w:t>
      </w:r>
      <w:r>
        <w:rPr>
          <w:rFonts w:hint="eastAsia" w:ascii="Times New Roman" w:hAnsi="Times New Roman" w:cs="Times New Roman"/>
          <w:sz w:val="24"/>
          <w:lang w:val="en-US" w:eastAsia="zh-CN"/>
        </w:rPr>
        <w:t>，2016年3月28日。</w:t>
      </w:r>
    </w:p>
    <w:p>
      <w:pPr>
        <w:spacing w:line="360" w:lineRule="auto"/>
        <w:rPr>
          <w:rFonts w:ascii="Times New Roman" w:hAnsi="Times New Roman" w:eastAsia="宋体" w:cs="Times New Roman"/>
          <w:b/>
          <w:bCs/>
          <w:sz w:val="24"/>
        </w:rPr>
      </w:pPr>
      <w:r>
        <w:rPr>
          <w:rFonts w:ascii="Times New Roman" w:hAnsi="Times New Roman" w:eastAsia="宋体" w:cs="Times New Roman"/>
          <w:b/>
          <w:bCs/>
          <w:sz w:val="24"/>
        </w:rPr>
        <w:t>2.4其他相关文件</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（1）项目委托书；</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（2）《渭南高新区渭河洁能有限公司环境保护应急救援预案》；</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（3）渭南高新区渭河洁能有限公司提供的与本项目建设有关的其它技术资料。</w:t>
      </w:r>
    </w:p>
    <w:p>
      <w:pPr>
        <w:pStyle w:val="4"/>
        <w:jc w:val="both"/>
        <w:rPr>
          <w:rFonts w:cs="Times New Roman"/>
          <w:sz w:val="24"/>
          <w:szCs w:val="24"/>
        </w:rPr>
      </w:pPr>
      <w:bookmarkStart w:id="5" w:name="_Toc133373694"/>
      <w:bookmarkStart w:id="6" w:name="_Toc109033238"/>
      <w:bookmarkStart w:id="7" w:name="_Toc109033336"/>
      <w:r>
        <w:rPr>
          <w:rFonts w:cs="Times New Roman"/>
          <w:sz w:val="36"/>
          <w:szCs w:val="36"/>
        </w:rPr>
        <w:br w:type="page"/>
      </w:r>
      <w:bookmarkStart w:id="8" w:name="_Toc20407"/>
      <w:r>
        <w:rPr>
          <w:rFonts w:cs="Times New Roman"/>
          <w:sz w:val="28"/>
          <w:szCs w:val="28"/>
        </w:rPr>
        <w:t>3 项目建设</w:t>
      </w:r>
      <w:bookmarkEnd w:id="5"/>
      <w:bookmarkEnd w:id="6"/>
      <w:bookmarkEnd w:id="7"/>
      <w:r>
        <w:rPr>
          <w:rFonts w:cs="Times New Roman"/>
          <w:sz w:val="28"/>
          <w:szCs w:val="28"/>
        </w:rPr>
        <w:t>情况</w:t>
      </w:r>
      <w:bookmarkEnd w:id="8"/>
    </w:p>
    <w:p>
      <w:pPr>
        <w:pStyle w:val="5"/>
        <w:rPr>
          <w:rFonts w:ascii="Times New Roman" w:hAnsi="Times New Roman" w:cs="Times New Roman"/>
          <w:sz w:val="24"/>
          <w:szCs w:val="24"/>
        </w:rPr>
      </w:pPr>
      <w:bookmarkStart w:id="9" w:name="_Toc210190239"/>
      <w:bookmarkStart w:id="10" w:name="_Toc206728827"/>
      <w:bookmarkStart w:id="11" w:name="_Toc161134475"/>
      <w:bookmarkStart w:id="12" w:name="_Toc14936"/>
      <w:bookmarkStart w:id="13" w:name="_Toc109033239"/>
      <w:bookmarkStart w:id="14" w:name="_Toc109033337"/>
      <w:bookmarkStart w:id="15" w:name="_Toc133373695"/>
      <w:r>
        <w:rPr>
          <w:rFonts w:ascii="Times New Roman" w:hAnsi="Times New Roman" w:cs="Times New Roman"/>
          <w:sz w:val="24"/>
          <w:szCs w:val="24"/>
        </w:rPr>
        <w:t>3.1</w:t>
      </w:r>
      <w:bookmarkEnd w:id="9"/>
      <w:bookmarkEnd w:id="10"/>
      <w:bookmarkEnd w:id="11"/>
      <w:r>
        <w:rPr>
          <w:rFonts w:ascii="Times New Roman" w:hAnsi="Times New Roman" w:cs="Times New Roman"/>
          <w:sz w:val="24"/>
          <w:szCs w:val="24"/>
        </w:rPr>
        <w:t>地理位置及平面布置</w:t>
      </w:r>
      <w:bookmarkEnd w:id="12"/>
    </w:p>
    <w:p>
      <w:pPr>
        <w:spacing w:line="360" w:lineRule="auto"/>
        <w:ind w:firstLine="482" w:firstLineChars="200"/>
        <w:rPr>
          <w:rFonts w:ascii="Times New Roman" w:hAnsi="Times New Roman" w:cs="Times New Roman"/>
          <w:sz w:val="24"/>
        </w:rPr>
      </w:pPr>
      <w:r>
        <w:rPr>
          <w:rFonts w:ascii="Times New Roman" w:hAnsi="Times New Roman" w:cs="Times New Roman"/>
          <w:b/>
          <w:sz w:val="24"/>
        </w:rPr>
        <w:t>项目名称：</w:t>
      </w:r>
      <w:r>
        <w:rPr>
          <w:sz w:val="24"/>
          <w:szCs w:val="20"/>
        </w:rPr>
        <w:t>废水处理及中水回用系统扩能改造项目</w:t>
      </w:r>
    </w:p>
    <w:p>
      <w:pPr>
        <w:spacing w:line="360" w:lineRule="auto"/>
        <w:ind w:firstLine="482" w:firstLineChars="200"/>
        <w:rPr>
          <w:rFonts w:ascii="Times New Roman" w:hAnsi="Times New Roman" w:cs="Times New Roman"/>
          <w:sz w:val="24"/>
        </w:rPr>
      </w:pPr>
      <w:r>
        <w:rPr>
          <w:rFonts w:ascii="Times New Roman" w:hAnsi="Times New Roman" w:cs="Times New Roman"/>
          <w:b/>
          <w:sz w:val="24"/>
        </w:rPr>
        <w:t>建设性质：</w:t>
      </w:r>
      <w:r>
        <w:rPr>
          <w:sz w:val="24"/>
        </w:rPr>
        <w:t>改扩</w:t>
      </w:r>
      <w:r>
        <w:rPr>
          <w:rFonts w:hint="eastAsia"/>
          <w:sz w:val="24"/>
        </w:rPr>
        <w:t>建</w:t>
      </w:r>
    </w:p>
    <w:p>
      <w:pPr>
        <w:spacing w:line="360" w:lineRule="auto"/>
        <w:ind w:firstLine="482" w:firstLineChars="200"/>
        <w:rPr>
          <w:rFonts w:ascii="Times New Roman" w:hAnsi="Times New Roman" w:cs="Times New Roman"/>
          <w:sz w:val="24"/>
        </w:rPr>
      </w:pPr>
      <w:r>
        <w:rPr>
          <w:rFonts w:ascii="Times New Roman" w:hAnsi="Times New Roman" w:cs="Times New Roman"/>
          <w:b/>
          <w:sz w:val="24"/>
        </w:rPr>
        <w:t>建设投资：</w:t>
      </w:r>
      <w:r>
        <w:rPr>
          <w:rFonts w:ascii="Times New Roman" w:hAnsi="Times New Roman" w:cs="Times New Roman"/>
          <w:sz w:val="24"/>
        </w:rPr>
        <w:t>项目实际总投资</w:t>
      </w:r>
      <w:r>
        <w:rPr>
          <w:rFonts w:hint="eastAsia" w:ascii="Times New Roman" w:hAnsi="Times New Roman" w:cs="Times New Roman"/>
          <w:color w:val="auto"/>
          <w:sz w:val="24"/>
          <w:lang w:val="en-US" w:eastAsia="zh-CN"/>
        </w:rPr>
        <w:t>4713</w:t>
      </w:r>
      <w:r>
        <w:rPr>
          <w:rFonts w:ascii="Times New Roman" w:hAnsi="Times New Roman" w:cs="Times New Roman"/>
          <w:sz w:val="24"/>
        </w:rPr>
        <w:t>万元，其中环保投资为</w:t>
      </w:r>
      <w:r>
        <w:rPr>
          <w:rFonts w:hint="eastAsia" w:ascii="Times New Roman" w:hAnsi="Times New Roman" w:cs="Times New Roman"/>
          <w:color w:val="auto"/>
          <w:sz w:val="24"/>
          <w:lang w:val="en-US" w:eastAsia="zh-CN"/>
        </w:rPr>
        <w:t>355</w:t>
      </w:r>
      <w:r>
        <w:rPr>
          <w:rFonts w:ascii="Times New Roman" w:hAnsi="Times New Roman" w:cs="Times New Roman"/>
          <w:sz w:val="24"/>
        </w:rPr>
        <w:t>万元，占总投资的</w:t>
      </w:r>
      <w:r>
        <w:rPr>
          <w:rFonts w:hint="eastAsia" w:ascii="Times New Roman" w:hAnsi="Times New Roman" w:cs="Times New Roman"/>
          <w:color w:val="auto"/>
          <w:sz w:val="24"/>
          <w:lang w:val="en-US" w:eastAsia="zh-CN"/>
        </w:rPr>
        <w:t>7.5</w:t>
      </w:r>
      <w:r>
        <w:rPr>
          <w:rFonts w:ascii="Times New Roman" w:hAnsi="Times New Roman" w:cs="Times New Roman"/>
          <w:sz w:val="24"/>
        </w:rPr>
        <w:t>%。</w:t>
      </w:r>
    </w:p>
    <w:p>
      <w:pPr>
        <w:spacing w:line="360" w:lineRule="auto"/>
        <w:ind w:firstLine="482" w:firstLineChars="200"/>
        <w:rPr>
          <w:rFonts w:ascii="Times New Roman" w:hAnsi="Times New Roman" w:cs="Times New Roman"/>
          <w:sz w:val="24"/>
        </w:rPr>
      </w:pPr>
      <w:r>
        <w:rPr>
          <w:rFonts w:ascii="Times New Roman" w:hAnsi="Times New Roman" w:cs="Times New Roman"/>
          <w:b/>
          <w:sz w:val="24"/>
        </w:rPr>
        <w:t>全厂占地面积：</w:t>
      </w:r>
      <w:r>
        <w:rPr>
          <w:rFonts w:hint="eastAsia" w:ascii="Times New Roman" w:hAnsi="Times New Roman" w:cs="Times New Roman"/>
          <w:color w:val="auto"/>
          <w:sz w:val="24"/>
          <w:lang w:val="en-US" w:eastAsia="zh-CN"/>
        </w:rPr>
        <w:t>10200</w:t>
      </w:r>
      <w:r>
        <w:rPr>
          <w:rFonts w:ascii="Times New Roman" w:hAnsi="Times New Roman" w:cs="Times New Roman"/>
          <w:sz w:val="24"/>
        </w:rPr>
        <w:t>m</w:t>
      </w:r>
      <w:r>
        <w:rPr>
          <w:rFonts w:ascii="Times New Roman" w:hAnsi="Times New Roman" w:cs="Times New Roman"/>
          <w:sz w:val="24"/>
          <w:vertAlign w:val="superscript"/>
        </w:rPr>
        <w:t>2</w:t>
      </w:r>
    </w:p>
    <w:p>
      <w:pPr>
        <w:spacing w:line="360" w:lineRule="auto"/>
        <w:ind w:firstLine="482" w:firstLineChars="200"/>
        <w:rPr>
          <w:rFonts w:ascii="Times New Roman" w:hAnsi="Times New Roman" w:cs="Times New Roman"/>
          <w:spacing w:val="-4"/>
          <w:sz w:val="24"/>
        </w:rPr>
      </w:pPr>
      <w:r>
        <w:rPr>
          <w:rFonts w:ascii="Times New Roman" w:hAnsi="Times New Roman" w:cs="Times New Roman"/>
          <w:b/>
          <w:sz w:val="24"/>
        </w:rPr>
        <w:t>位置与交通：</w:t>
      </w:r>
      <w:r>
        <w:rPr>
          <w:sz w:val="24"/>
          <w:szCs w:val="20"/>
        </w:rPr>
        <w:t>渭南高新区渭河洁能有限公司废水处理及中水回用系统扩能改造项目</w:t>
      </w:r>
      <w:r>
        <w:rPr>
          <w:rFonts w:ascii="Times New Roman" w:hAnsi="Times New Roman" w:cs="Times New Roman"/>
          <w:sz w:val="24"/>
        </w:rPr>
        <w:t>位于</w:t>
      </w:r>
      <w:r>
        <w:rPr>
          <w:sz w:val="24"/>
          <w:lang w:val="da-DK"/>
        </w:rPr>
        <w:t>陕西渭河煤化工集团有限责任公司（简称渭化集团）</w:t>
      </w:r>
      <w:r>
        <w:rPr>
          <w:rFonts w:ascii="Times New Roman" w:hAnsi="Times New Roman" w:cs="Times New Roman"/>
          <w:b w:val="0"/>
          <w:bCs w:val="0"/>
          <w:sz w:val="24"/>
          <w:lang w:val="da-DK"/>
        </w:rPr>
        <w:t>厂内</w:t>
      </w:r>
      <w:r>
        <w:rPr>
          <w:rFonts w:hint="eastAsia" w:ascii="Times New Roman" w:hAnsi="Times New Roman" w:cs="Times New Roman"/>
          <w:b w:val="0"/>
          <w:bCs w:val="0"/>
          <w:sz w:val="24"/>
          <w:lang w:val="da-DK" w:eastAsia="zh-CN"/>
        </w:rPr>
        <w:t>北侧，厂区</w:t>
      </w:r>
      <w:r>
        <w:rPr>
          <w:rFonts w:ascii="Times New Roman" w:hAnsi="Times New Roman" w:cs="Times New Roman"/>
          <w:b w:val="0"/>
          <w:bCs w:val="0"/>
          <w:color w:val="auto"/>
          <w:sz w:val="24"/>
          <w:lang w:val="da-DK"/>
        </w:rPr>
        <w:t>北临东风大街、东临新盛路、南临朝阳大街、西侧是广通南路</w:t>
      </w:r>
      <w:r>
        <w:rPr>
          <w:rFonts w:hint="eastAsia" w:ascii="Times New Roman" w:hAnsi="Times New Roman" w:cs="Times New Roman"/>
          <w:b w:val="0"/>
          <w:bCs w:val="0"/>
          <w:color w:val="auto"/>
          <w:sz w:val="24"/>
          <w:lang w:val="da-DK" w:eastAsia="zh-CN"/>
        </w:rPr>
        <w:t>，本项目北临北厂界，东临生活垃圾及危废暂存处，南临厂区道路，西临循环水冷却塔</w:t>
      </w:r>
      <w:r>
        <w:rPr>
          <w:rFonts w:ascii="Times New Roman" w:hAnsi="Times New Roman" w:cs="Times New Roman"/>
          <w:b w:val="0"/>
          <w:bCs w:val="0"/>
          <w:color w:val="auto"/>
          <w:sz w:val="24"/>
        </w:rPr>
        <w:t>。</w:t>
      </w:r>
      <w:r>
        <w:rPr>
          <w:rFonts w:ascii="Times New Roman" w:hAnsi="Times New Roman" w:cs="Times New Roman"/>
          <w:sz w:val="24"/>
        </w:rPr>
        <w:t>结合本项目环评及验收期间现场踏勘情况，</w:t>
      </w:r>
      <w:r>
        <w:rPr>
          <w:rFonts w:ascii="Times New Roman" w:hAnsi="Times New Roman" w:cs="Times New Roman"/>
          <w:spacing w:val="-4"/>
          <w:sz w:val="24"/>
        </w:rPr>
        <w:t>项目选址未发生变化，周边环境敏感点变化情况见下表。</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本项目经度109°</w:t>
      </w:r>
      <w:r>
        <w:rPr>
          <w:rFonts w:hint="eastAsia" w:ascii="Times New Roman" w:hAnsi="Times New Roman" w:cs="Times New Roman"/>
          <w:sz w:val="24"/>
          <w:lang w:val="en-US" w:eastAsia="zh-CN"/>
        </w:rPr>
        <w:t>26</w:t>
      </w:r>
      <w:r>
        <w:rPr>
          <w:rFonts w:ascii="Times New Roman" w:hAnsi="Times New Roman" w:cs="Times New Roman"/>
          <w:sz w:val="24"/>
        </w:rPr>
        <w:t>′</w:t>
      </w:r>
      <w:r>
        <w:rPr>
          <w:rFonts w:hint="eastAsia" w:ascii="Times New Roman" w:hAnsi="Times New Roman" w:cs="Times New Roman"/>
          <w:sz w:val="24"/>
          <w:lang w:val="en-US" w:eastAsia="zh-CN"/>
        </w:rPr>
        <w:t>19.55</w:t>
      </w:r>
      <w:r>
        <w:rPr>
          <w:rFonts w:ascii="Times New Roman" w:hAnsi="Times New Roman" w:cs="Times New Roman"/>
          <w:sz w:val="24"/>
        </w:rPr>
        <w:t>″，纬度34°</w:t>
      </w:r>
      <w:r>
        <w:rPr>
          <w:rFonts w:hint="eastAsia" w:ascii="Times New Roman" w:hAnsi="Times New Roman" w:cs="Times New Roman"/>
          <w:sz w:val="24"/>
          <w:lang w:val="en-US" w:eastAsia="zh-CN"/>
        </w:rPr>
        <w:t>30</w:t>
      </w:r>
      <w:r>
        <w:rPr>
          <w:rFonts w:ascii="Times New Roman" w:hAnsi="Times New Roman" w:cs="Times New Roman"/>
          <w:sz w:val="24"/>
        </w:rPr>
        <w:t>′</w:t>
      </w:r>
      <w:r>
        <w:rPr>
          <w:rFonts w:hint="eastAsia" w:ascii="Times New Roman" w:hAnsi="Times New Roman" w:cs="Times New Roman"/>
          <w:sz w:val="24"/>
          <w:lang w:val="en-US" w:eastAsia="zh-CN"/>
        </w:rPr>
        <w:t>0.94</w:t>
      </w:r>
      <w:r>
        <w:rPr>
          <w:rFonts w:ascii="Times New Roman" w:hAnsi="Times New Roman" w:cs="Times New Roman"/>
          <w:sz w:val="24"/>
        </w:rPr>
        <w:t>″，地理位置见图3.1-1，四邻关系见图3.1-2，平面布置见图3.1-3，</w:t>
      </w:r>
      <w:r>
        <w:rPr>
          <w:rFonts w:hint="eastAsia" w:ascii="Times New Roman" w:hAnsi="Times New Roman" w:cs="Times New Roman"/>
          <w:sz w:val="24"/>
          <w:lang w:eastAsia="zh-CN"/>
        </w:rPr>
        <w:t>厂</w:t>
      </w:r>
      <w:r>
        <w:rPr>
          <w:rFonts w:ascii="Times New Roman" w:hAnsi="Times New Roman" w:cs="Times New Roman"/>
          <w:sz w:val="24"/>
        </w:rPr>
        <w:t>区周边敏感点分布见图3.1-4，敏感点方位及距离见表3.1-1。</w:t>
      </w:r>
      <w:bookmarkStart w:id="16" w:name="_Toc206728828"/>
      <w:bookmarkStart w:id="17" w:name="_Toc210190240"/>
      <w:bookmarkStart w:id="18" w:name="_Toc157307274"/>
      <w:bookmarkStart w:id="19" w:name="_Toc148191538"/>
      <w:bookmarkStart w:id="20" w:name="_Toc157703432"/>
      <w:bookmarkStart w:id="21" w:name="_Toc161134476"/>
    </w:p>
    <w:p>
      <w:pPr>
        <w:spacing w:beforeLines="50"/>
        <w:jc w:val="center"/>
        <w:rPr>
          <w:rFonts w:ascii="Times New Roman" w:hAnsi="Times New Roman" w:eastAsia="黑体" w:cs="Times New Roman"/>
          <w:sz w:val="24"/>
        </w:rPr>
      </w:pPr>
      <w:r>
        <w:rPr>
          <w:rFonts w:ascii="Times New Roman" w:hAnsi="Times New Roman" w:eastAsia="黑体" w:cs="Times New Roman"/>
          <w:sz w:val="24"/>
        </w:rPr>
        <w:t>表3.1-1　　敏感点方位及距离表</w:t>
      </w:r>
    </w:p>
    <w:tbl>
      <w:tblPr>
        <w:tblStyle w:val="27"/>
        <w:tblW w:w="8709" w:type="dxa"/>
        <w:jc w:val="center"/>
        <w:tblInd w:w="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
        <w:gridCol w:w="1320"/>
        <w:gridCol w:w="668"/>
        <w:gridCol w:w="1536"/>
        <w:gridCol w:w="1392"/>
        <w:gridCol w:w="696"/>
        <w:gridCol w:w="1500"/>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5" w:hRule="exact"/>
          <w:jc w:val="center"/>
        </w:trPr>
        <w:tc>
          <w:tcPr>
            <w:tcW w:w="496"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序号</w:t>
            </w:r>
          </w:p>
        </w:tc>
        <w:tc>
          <w:tcPr>
            <w:tcW w:w="1320"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环评</w:t>
            </w:r>
          </w:p>
          <w:p>
            <w:pPr>
              <w:snapToGrid w:val="0"/>
              <w:jc w:val="center"/>
              <w:rPr>
                <w:rFonts w:ascii="Times New Roman" w:hAnsi="Times New Roman" w:cs="Times New Roman"/>
                <w:b/>
                <w:sz w:val="21"/>
                <w:szCs w:val="21"/>
              </w:rPr>
            </w:pPr>
            <w:r>
              <w:rPr>
                <w:rFonts w:ascii="Times New Roman" w:hAnsi="Times New Roman" w:cs="Times New Roman"/>
                <w:b/>
                <w:sz w:val="21"/>
                <w:szCs w:val="21"/>
              </w:rPr>
              <w:t>敏感点</w:t>
            </w:r>
          </w:p>
        </w:tc>
        <w:tc>
          <w:tcPr>
            <w:tcW w:w="668"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方位</w:t>
            </w:r>
          </w:p>
        </w:tc>
        <w:tc>
          <w:tcPr>
            <w:tcW w:w="1536"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与项目距离（m）</w:t>
            </w:r>
          </w:p>
        </w:tc>
        <w:tc>
          <w:tcPr>
            <w:tcW w:w="1392"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验收期间</w:t>
            </w:r>
          </w:p>
          <w:p>
            <w:pPr>
              <w:snapToGrid w:val="0"/>
              <w:jc w:val="center"/>
              <w:rPr>
                <w:rFonts w:ascii="Times New Roman" w:hAnsi="Times New Roman" w:cs="Times New Roman"/>
                <w:b/>
                <w:sz w:val="21"/>
                <w:szCs w:val="21"/>
              </w:rPr>
            </w:pPr>
            <w:r>
              <w:rPr>
                <w:rFonts w:ascii="Times New Roman" w:hAnsi="Times New Roman" w:cs="Times New Roman"/>
                <w:b/>
                <w:sz w:val="21"/>
                <w:szCs w:val="21"/>
              </w:rPr>
              <w:t>敏感点</w:t>
            </w:r>
          </w:p>
        </w:tc>
        <w:tc>
          <w:tcPr>
            <w:tcW w:w="696"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方位</w:t>
            </w:r>
          </w:p>
        </w:tc>
        <w:tc>
          <w:tcPr>
            <w:tcW w:w="1500"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与项目距离（m）</w:t>
            </w:r>
          </w:p>
        </w:tc>
        <w:tc>
          <w:tcPr>
            <w:tcW w:w="1101" w:type="dxa"/>
            <w:vAlign w:val="center"/>
          </w:tcPr>
          <w:p>
            <w:pPr>
              <w:snapToGrid w:val="0"/>
              <w:jc w:val="center"/>
              <w:rPr>
                <w:rFonts w:ascii="Times New Roman" w:hAnsi="Times New Roman" w:cs="Times New Roman"/>
                <w:b/>
                <w:sz w:val="21"/>
                <w:szCs w:val="21"/>
              </w:rPr>
            </w:pPr>
            <w:r>
              <w:rPr>
                <w:rFonts w:ascii="Times New Roman" w:hAnsi="Times New Roman"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w:t>
            </w:r>
          </w:p>
        </w:tc>
        <w:tc>
          <w:tcPr>
            <w:tcW w:w="1320" w:type="dxa"/>
            <w:vAlign w:val="center"/>
          </w:tcPr>
          <w:p>
            <w:pPr>
              <w:snapToGrid w:val="0"/>
              <w:jc w:val="center"/>
              <w:rPr>
                <w:rFonts w:ascii="Times New Roman" w:hAnsi="Times New Roman" w:cs="Times New Roman"/>
                <w:sz w:val="21"/>
                <w:szCs w:val="21"/>
              </w:rPr>
            </w:pPr>
            <w:r>
              <w:rPr>
                <w:bCs/>
                <w:sz w:val="21"/>
                <w:szCs w:val="21"/>
              </w:rPr>
              <w:t>麻李滩村</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60</w:t>
            </w:r>
          </w:p>
        </w:tc>
        <w:tc>
          <w:tcPr>
            <w:tcW w:w="1392" w:type="dxa"/>
            <w:vAlign w:val="center"/>
          </w:tcPr>
          <w:p>
            <w:pPr>
              <w:snapToGrid w:val="0"/>
              <w:jc w:val="center"/>
              <w:rPr>
                <w:rFonts w:ascii="Times New Roman" w:hAnsi="Times New Roman" w:cs="Times New Roman"/>
                <w:sz w:val="21"/>
                <w:szCs w:val="21"/>
              </w:rPr>
            </w:pPr>
            <w:r>
              <w:rPr>
                <w:bCs/>
                <w:sz w:val="21"/>
                <w:szCs w:val="21"/>
              </w:rPr>
              <w:t>麻李滩村</w:t>
            </w:r>
          </w:p>
        </w:tc>
        <w:tc>
          <w:tcPr>
            <w:tcW w:w="6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北</w:t>
            </w:r>
          </w:p>
        </w:tc>
        <w:tc>
          <w:tcPr>
            <w:tcW w:w="1500" w:type="dxa"/>
            <w:vAlign w:val="center"/>
          </w:tcPr>
          <w:p>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w:t>
            </w:r>
          </w:p>
        </w:tc>
        <w:tc>
          <w:tcPr>
            <w:tcW w:w="1320" w:type="dxa"/>
            <w:vAlign w:val="center"/>
          </w:tcPr>
          <w:p>
            <w:pPr>
              <w:snapToGrid w:val="0"/>
              <w:jc w:val="center"/>
              <w:rPr>
                <w:rFonts w:ascii="Times New Roman" w:hAnsi="Times New Roman" w:cs="Times New Roman"/>
                <w:sz w:val="21"/>
                <w:szCs w:val="21"/>
              </w:rPr>
            </w:pPr>
            <w:r>
              <w:rPr>
                <w:bCs/>
                <w:sz w:val="21"/>
                <w:szCs w:val="21"/>
              </w:rPr>
              <w:t>渭南市高级中学</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392" w:type="dxa"/>
            <w:vAlign w:val="center"/>
          </w:tcPr>
          <w:p>
            <w:pPr>
              <w:snapToGrid w:val="0"/>
              <w:jc w:val="center"/>
              <w:rPr>
                <w:rFonts w:ascii="Times New Roman" w:hAnsi="Times New Roman" w:cs="Times New Roman"/>
                <w:sz w:val="21"/>
                <w:szCs w:val="21"/>
              </w:rPr>
            </w:pPr>
            <w:r>
              <w:rPr>
                <w:bCs/>
                <w:sz w:val="21"/>
                <w:szCs w:val="21"/>
              </w:rPr>
              <w:t>渭南市高级中学</w:t>
            </w:r>
          </w:p>
        </w:tc>
        <w:tc>
          <w:tcPr>
            <w:tcW w:w="696" w:type="dxa"/>
            <w:vAlign w:val="center"/>
          </w:tcPr>
          <w:p>
            <w:pPr>
              <w:snapToGrid w:val="0"/>
              <w:jc w:val="center"/>
              <w:rPr>
                <w:rFonts w:ascii="Times New Roman" w:hAnsi="Times New Roman" w:cs="Times New Roman"/>
                <w:sz w:val="21"/>
                <w:szCs w:val="21"/>
              </w:rPr>
            </w:pPr>
            <w:r>
              <w:rPr>
                <w:rFonts w:hint="eastAsia" w:ascii="Times New Roman" w:hAnsi="Times New Roman" w:cs="Times New Roman"/>
                <w:sz w:val="21"/>
                <w:szCs w:val="21"/>
                <w:lang w:eastAsia="zh-CN"/>
              </w:rPr>
              <w:t>西</w:t>
            </w:r>
            <w:r>
              <w:rPr>
                <w:rFonts w:ascii="Times New Roman" w:hAnsi="Times New Roman" w:cs="Times New Roman"/>
                <w:sz w:val="21"/>
                <w:szCs w:val="21"/>
              </w:rPr>
              <w:t>北</w:t>
            </w:r>
          </w:p>
        </w:tc>
        <w:tc>
          <w:tcPr>
            <w:tcW w:w="1500" w:type="dxa"/>
            <w:vAlign w:val="center"/>
          </w:tcPr>
          <w:p>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2100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3</w:t>
            </w:r>
          </w:p>
        </w:tc>
        <w:tc>
          <w:tcPr>
            <w:tcW w:w="1320" w:type="dxa"/>
            <w:vAlign w:val="center"/>
          </w:tcPr>
          <w:p>
            <w:pPr>
              <w:snapToGrid w:val="0"/>
              <w:jc w:val="center"/>
              <w:rPr>
                <w:rFonts w:ascii="Times New Roman" w:hAnsi="Times New Roman" w:cs="Times New Roman"/>
                <w:sz w:val="21"/>
                <w:szCs w:val="21"/>
              </w:rPr>
            </w:pPr>
            <w:r>
              <w:rPr>
                <w:bCs/>
                <w:sz w:val="21"/>
                <w:szCs w:val="21"/>
              </w:rPr>
              <w:t>灵阳村</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2500</w:t>
            </w:r>
          </w:p>
        </w:tc>
        <w:tc>
          <w:tcPr>
            <w:tcW w:w="1392" w:type="dxa"/>
            <w:vAlign w:val="center"/>
          </w:tcPr>
          <w:p>
            <w:pPr>
              <w:snapToGrid w:val="0"/>
              <w:jc w:val="center"/>
              <w:rPr>
                <w:rFonts w:ascii="Times New Roman" w:hAnsi="Times New Roman" w:cs="Times New Roman"/>
                <w:sz w:val="21"/>
                <w:szCs w:val="21"/>
              </w:rPr>
            </w:pPr>
            <w:r>
              <w:rPr>
                <w:bCs/>
                <w:sz w:val="21"/>
                <w:szCs w:val="21"/>
              </w:rPr>
              <w:t>灵阳村</w:t>
            </w:r>
          </w:p>
        </w:tc>
        <w:tc>
          <w:tcPr>
            <w:tcW w:w="6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北</w:t>
            </w:r>
          </w:p>
        </w:tc>
        <w:tc>
          <w:tcPr>
            <w:tcW w:w="1500" w:type="dxa"/>
            <w:vAlign w:val="center"/>
          </w:tcPr>
          <w:p>
            <w:pPr>
              <w:snapToGrid w:val="0"/>
              <w:jc w:val="center"/>
              <w:rPr>
                <w:rFonts w:ascii="Times New Roman" w:hAnsi="Times New Roman" w:cs="Times New Roman"/>
                <w:sz w:val="21"/>
                <w:szCs w:val="21"/>
              </w:rPr>
            </w:pPr>
            <w:r>
              <w:rPr>
                <w:rFonts w:hint="eastAsia" w:ascii="Times New Roman" w:hAnsi="Times New Roman" w:cs="Times New Roman"/>
                <w:sz w:val="21"/>
                <w:szCs w:val="21"/>
                <w:lang w:val="en-US" w:eastAsia="zh-CN"/>
              </w:rPr>
              <w:t>25</w:t>
            </w:r>
            <w:r>
              <w:rPr>
                <w:rFonts w:ascii="Times New Roman" w:hAnsi="Times New Roman" w:cs="Times New Roman"/>
                <w:sz w:val="21"/>
                <w:szCs w:val="21"/>
              </w:rPr>
              <w:t>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4</w:t>
            </w:r>
          </w:p>
        </w:tc>
        <w:tc>
          <w:tcPr>
            <w:tcW w:w="1320" w:type="dxa"/>
            <w:vAlign w:val="center"/>
          </w:tcPr>
          <w:p>
            <w:pPr>
              <w:snapToGrid w:val="0"/>
              <w:jc w:val="center"/>
              <w:rPr>
                <w:rFonts w:ascii="Times New Roman" w:hAnsi="Times New Roman" w:cs="Times New Roman"/>
                <w:sz w:val="21"/>
                <w:szCs w:val="21"/>
              </w:rPr>
            </w:pPr>
            <w:r>
              <w:rPr>
                <w:bCs/>
                <w:sz w:val="21"/>
                <w:szCs w:val="21"/>
              </w:rPr>
              <w:t>郑家村</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392" w:type="dxa"/>
            <w:vAlign w:val="center"/>
          </w:tcPr>
          <w:p>
            <w:pPr>
              <w:snapToGrid w:val="0"/>
              <w:jc w:val="center"/>
              <w:rPr>
                <w:rFonts w:ascii="Times New Roman" w:hAnsi="Times New Roman" w:cs="Times New Roman"/>
                <w:sz w:val="21"/>
                <w:szCs w:val="21"/>
              </w:rPr>
            </w:pPr>
            <w:r>
              <w:rPr>
                <w:bCs/>
                <w:sz w:val="21"/>
                <w:szCs w:val="21"/>
              </w:rPr>
              <w:t>郑家村</w:t>
            </w:r>
          </w:p>
        </w:tc>
        <w:tc>
          <w:tcPr>
            <w:tcW w:w="6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w:t>
            </w:r>
          </w:p>
        </w:tc>
        <w:tc>
          <w:tcPr>
            <w:tcW w:w="1500"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已搬离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5</w:t>
            </w:r>
          </w:p>
        </w:tc>
        <w:tc>
          <w:tcPr>
            <w:tcW w:w="1320" w:type="dxa"/>
            <w:vAlign w:val="center"/>
          </w:tcPr>
          <w:p>
            <w:pPr>
              <w:snapToGrid w:val="0"/>
              <w:jc w:val="center"/>
              <w:rPr>
                <w:rFonts w:ascii="Times New Roman" w:hAnsi="Times New Roman" w:cs="Times New Roman"/>
                <w:sz w:val="21"/>
                <w:szCs w:val="21"/>
              </w:rPr>
            </w:pPr>
            <w:r>
              <w:rPr>
                <w:bCs/>
                <w:sz w:val="21"/>
                <w:szCs w:val="21"/>
              </w:rPr>
              <w:t>幸福城</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1600</w:t>
            </w:r>
          </w:p>
        </w:tc>
        <w:tc>
          <w:tcPr>
            <w:tcW w:w="1392" w:type="dxa"/>
            <w:vAlign w:val="center"/>
          </w:tcPr>
          <w:p>
            <w:pPr>
              <w:snapToGrid w:val="0"/>
              <w:jc w:val="center"/>
              <w:rPr>
                <w:rFonts w:ascii="Times New Roman" w:hAnsi="Times New Roman" w:cs="Times New Roman"/>
                <w:sz w:val="21"/>
                <w:szCs w:val="21"/>
              </w:rPr>
            </w:pPr>
            <w:r>
              <w:rPr>
                <w:bCs/>
                <w:sz w:val="21"/>
                <w:szCs w:val="21"/>
              </w:rPr>
              <w:t>幸福城</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1600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6</w:t>
            </w:r>
          </w:p>
        </w:tc>
        <w:tc>
          <w:tcPr>
            <w:tcW w:w="1320" w:type="dxa"/>
            <w:vAlign w:val="center"/>
          </w:tcPr>
          <w:p>
            <w:pPr>
              <w:snapToGrid w:val="0"/>
              <w:jc w:val="center"/>
              <w:rPr>
                <w:rFonts w:ascii="Times New Roman" w:hAnsi="Times New Roman" w:cs="Times New Roman"/>
                <w:sz w:val="21"/>
                <w:szCs w:val="21"/>
              </w:rPr>
            </w:pPr>
            <w:r>
              <w:rPr>
                <w:bCs/>
                <w:sz w:val="21"/>
                <w:szCs w:val="21"/>
              </w:rPr>
              <w:t>帕提欧</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735</w:t>
            </w:r>
          </w:p>
        </w:tc>
        <w:tc>
          <w:tcPr>
            <w:tcW w:w="1392" w:type="dxa"/>
            <w:vAlign w:val="center"/>
          </w:tcPr>
          <w:p>
            <w:pPr>
              <w:snapToGrid w:val="0"/>
              <w:jc w:val="center"/>
              <w:rPr>
                <w:rFonts w:ascii="Times New Roman" w:hAnsi="Times New Roman" w:cs="Times New Roman"/>
                <w:sz w:val="21"/>
                <w:szCs w:val="21"/>
              </w:rPr>
            </w:pPr>
            <w:r>
              <w:rPr>
                <w:bCs/>
                <w:sz w:val="21"/>
                <w:szCs w:val="21"/>
              </w:rPr>
              <w:t>帕提欧</w:t>
            </w:r>
          </w:p>
        </w:tc>
        <w:tc>
          <w:tcPr>
            <w:tcW w:w="6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w:t>
            </w:r>
          </w:p>
        </w:tc>
        <w:tc>
          <w:tcPr>
            <w:tcW w:w="1500"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已搬离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7</w:t>
            </w:r>
          </w:p>
        </w:tc>
        <w:tc>
          <w:tcPr>
            <w:tcW w:w="1320" w:type="dxa"/>
            <w:vAlign w:val="center"/>
          </w:tcPr>
          <w:p>
            <w:pPr>
              <w:snapToGrid w:val="0"/>
              <w:jc w:val="center"/>
              <w:rPr>
                <w:rFonts w:ascii="Times New Roman" w:hAnsi="Times New Roman" w:cs="Times New Roman"/>
                <w:sz w:val="21"/>
                <w:szCs w:val="21"/>
              </w:rPr>
            </w:pPr>
            <w:r>
              <w:rPr>
                <w:bCs/>
                <w:sz w:val="21"/>
                <w:szCs w:val="21"/>
              </w:rPr>
              <w:t>利君首座</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418</w:t>
            </w:r>
          </w:p>
        </w:tc>
        <w:tc>
          <w:tcPr>
            <w:tcW w:w="1392" w:type="dxa"/>
            <w:vAlign w:val="center"/>
          </w:tcPr>
          <w:p>
            <w:pPr>
              <w:snapToGrid w:val="0"/>
              <w:jc w:val="center"/>
              <w:rPr>
                <w:rFonts w:ascii="Times New Roman" w:hAnsi="Times New Roman" w:cs="Times New Roman"/>
                <w:sz w:val="21"/>
                <w:szCs w:val="21"/>
              </w:rPr>
            </w:pPr>
            <w:r>
              <w:rPr>
                <w:bCs/>
                <w:sz w:val="21"/>
                <w:szCs w:val="21"/>
              </w:rPr>
              <w:t>利君首座</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418</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8</w:t>
            </w:r>
          </w:p>
        </w:tc>
        <w:tc>
          <w:tcPr>
            <w:tcW w:w="1320" w:type="dxa"/>
            <w:vAlign w:val="center"/>
          </w:tcPr>
          <w:p>
            <w:pPr>
              <w:snapToGrid w:val="0"/>
              <w:jc w:val="center"/>
              <w:rPr>
                <w:rFonts w:ascii="Times New Roman" w:hAnsi="Times New Roman" w:cs="Times New Roman"/>
                <w:sz w:val="21"/>
                <w:szCs w:val="21"/>
              </w:rPr>
            </w:pPr>
            <w:r>
              <w:rPr>
                <w:sz w:val="21"/>
                <w:szCs w:val="21"/>
              </w:rPr>
              <w:t>雷刘村</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东南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500</w:t>
            </w:r>
          </w:p>
        </w:tc>
        <w:tc>
          <w:tcPr>
            <w:tcW w:w="1392" w:type="dxa"/>
            <w:vAlign w:val="center"/>
          </w:tcPr>
          <w:p>
            <w:pPr>
              <w:snapToGrid w:val="0"/>
              <w:jc w:val="center"/>
              <w:rPr>
                <w:rFonts w:ascii="Times New Roman" w:hAnsi="Times New Roman" w:cs="Times New Roman"/>
                <w:sz w:val="21"/>
                <w:szCs w:val="21"/>
              </w:rPr>
            </w:pPr>
            <w:r>
              <w:rPr>
                <w:sz w:val="21"/>
                <w:szCs w:val="21"/>
              </w:rPr>
              <w:t>雷刘村</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东南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500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9</w:t>
            </w:r>
          </w:p>
        </w:tc>
        <w:tc>
          <w:tcPr>
            <w:tcW w:w="1320" w:type="dxa"/>
            <w:vAlign w:val="center"/>
          </w:tcPr>
          <w:p>
            <w:pPr>
              <w:snapToGrid w:val="0"/>
              <w:jc w:val="center"/>
              <w:rPr>
                <w:rFonts w:ascii="Times New Roman" w:hAnsi="Times New Roman" w:cs="Times New Roman"/>
                <w:sz w:val="21"/>
                <w:szCs w:val="21"/>
              </w:rPr>
            </w:pPr>
            <w:r>
              <w:rPr>
                <w:bCs/>
                <w:sz w:val="21"/>
                <w:szCs w:val="21"/>
              </w:rPr>
              <w:t>政和苑小区</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1000</w:t>
            </w:r>
          </w:p>
        </w:tc>
        <w:tc>
          <w:tcPr>
            <w:tcW w:w="1392" w:type="dxa"/>
            <w:vAlign w:val="center"/>
          </w:tcPr>
          <w:p>
            <w:pPr>
              <w:snapToGrid w:val="0"/>
              <w:jc w:val="center"/>
              <w:rPr>
                <w:rFonts w:ascii="Times New Roman" w:hAnsi="Times New Roman" w:cs="Times New Roman"/>
                <w:sz w:val="21"/>
                <w:szCs w:val="21"/>
              </w:rPr>
            </w:pPr>
            <w:r>
              <w:rPr>
                <w:bCs/>
                <w:sz w:val="21"/>
                <w:szCs w:val="21"/>
              </w:rPr>
              <w:t>政和苑小区</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1000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10</w:t>
            </w:r>
          </w:p>
        </w:tc>
        <w:tc>
          <w:tcPr>
            <w:tcW w:w="1320" w:type="dxa"/>
            <w:vAlign w:val="center"/>
          </w:tcPr>
          <w:p>
            <w:pPr>
              <w:snapToGrid w:val="0"/>
              <w:jc w:val="center"/>
              <w:rPr>
                <w:rFonts w:ascii="Times New Roman" w:hAnsi="Times New Roman" w:cs="Times New Roman"/>
                <w:sz w:val="21"/>
                <w:szCs w:val="21"/>
              </w:rPr>
            </w:pPr>
            <w:r>
              <w:rPr>
                <w:bCs/>
                <w:sz w:val="21"/>
                <w:szCs w:val="21"/>
              </w:rPr>
              <w:t>盛世佳园</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东北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707</w:t>
            </w:r>
          </w:p>
        </w:tc>
        <w:tc>
          <w:tcPr>
            <w:tcW w:w="1392" w:type="dxa"/>
            <w:vAlign w:val="center"/>
          </w:tcPr>
          <w:p>
            <w:pPr>
              <w:snapToGrid w:val="0"/>
              <w:jc w:val="center"/>
              <w:rPr>
                <w:rFonts w:ascii="Times New Roman" w:hAnsi="Times New Roman" w:cs="Times New Roman"/>
                <w:sz w:val="21"/>
                <w:szCs w:val="21"/>
              </w:rPr>
            </w:pPr>
            <w:r>
              <w:rPr>
                <w:bCs/>
                <w:sz w:val="21"/>
                <w:szCs w:val="21"/>
              </w:rPr>
              <w:t>盛世佳园</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东北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707</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11</w:t>
            </w:r>
          </w:p>
        </w:tc>
        <w:tc>
          <w:tcPr>
            <w:tcW w:w="1320" w:type="dxa"/>
            <w:vAlign w:val="center"/>
          </w:tcPr>
          <w:p>
            <w:pPr>
              <w:snapToGrid w:val="0"/>
              <w:jc w:val="center"/>
              <w:rPr>
                <w:rFonts w:ascii="Times New Roman" w:hAnsi="Times New Roman" w:cs="Times New Roman"/>
                <w:sz w:val="21"/>
                <w:szCs w:val="21"/>
              </w:rPr>
            </w:pPr>
            <w:r>
              <w:rPr>
                <w:sz w:val="21"/>
                <w:szCs w:val="21"/>
              </w:rPr>
              <w:t>大闵村</w:t>
            </w:r>
          </w:p>
        </w:tc>
        <w:tc>
          <w:tcPr>
            <w:tcW w:w="668" w:type="dxa"/>
            <w:vAlign w:val="center"/>
          </w:tcPr>
          <w:p>
            <w:pPr>
              <w:snapToGrid w:val="0"/>
              <w:ind w:left="-50" w:leftChars="0" w:right="-50"/>
              <w:jc w:val="center"/>
              <w:rPr>
                <w:rFonts w:ascii="Times New Roman" w:hAnsi="Times New Roman" w:cs="Times New Roman"/>
                <w:sz w:val="21"/>
                <w:szCs w:val="21"/>
              </w:rPr>
            </w:pPr>
            <w:r>
              <w:rPr>
                <w:sz w:val="21"/>
                <w:szCs w:val="21"/>
              </w:rPr>
              <w:t>西</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392" w:type="dxa"/>
            <w:vAlign w:val="center"/>
          </w:tcPr>
          <w:p>
            <w:pPr>
              <w:snapToGrid w:val="0"/>
              <w:jc w:val="center"/>
              <w:rPr>
                <w:rFonts w:ascii="Times New Roman" w:hAnsi="Times New Roman" w:cs="Times New Roman"/>
                <w:sz w:val="21"/>
                <w:szCs w:val="21"/>
              </w:rPr>
            </w:pPr>
            <w:r>
              <w:rPr>
                <w:sz w:val="21"/>
                <w:szCs w:val="21"/>
              </w:rPr>
              <w:t>大闵村</w:t>
            </w:r>
          </w:p>
        </w:tc>
        <w:tc>
          <w:tcPr>
            <w:tcW w:w="696" w:type="dxa"/>
            <w:vAlign w:val="center"/>
          </w:tcPr>
          <w:p>
            <w:pPr>
              <w:snapToGrid w:val="0"/>
              <w:ind w:left="-50" w:leftChars="0" w:right="-50"/>
              <w:jc w:val="center"/>
              <w:rPr>
                <w:rFonts w:ascii="Times New Roman" w:hAnsi="Times New Roman" w:cs="Times New Roman"/>
                <w:sz w:val="21"/>
                <w:szCs w:val="21"/>
              </w:rPr>
            </w:pPr>
            <w:r>
              <w:rPr>
                <w:sz w:val="21"/>
                <w:szCs w:val="21"/>
              </w:rPr>
              <w:t>西</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12</w:t>
            </w:r>
          </w:p>
        </w:tc>
        <w:tc>
          <w:tcPr>
            <w:tcW w:w="1320" w:type="dxa"/>
            <w:vAlign w:val="center"/>
          </w:tcPr>
          <w:p>
            <w:pPr>
              <w:snapToGrid w:val="0"/>
              <w:jc w:val="center"/>
              <w:rPr>
                <w:rFonts w:ascii="Times New Roman" w:hAnsi="Times New Roman" w:cs="Times New Roman"/>
                <w:sz w:val="21"/>
                <w:szCs w:val="21"/>
              </w:rPr>
            </w:pPr>
            <w:r>
              <w:rPr>
                <w:sz w:val="21"/>
                <w:szCs w:val="21"/>
              </w:rPr>
              <w:t>黄家村</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933</w:t>
            </w:r>
          </w:p>
        </w:tc>
        <w:tc>
          <w:tcPr>
            <w:tcW w:w="1392" w:type="dxa"/>
            <w:vAlign w:val="center"/>
          </w:tcPr>
          <w:p>
            <w:pPr>
              <w:snapToGrid w:val="0"/>
              <w:jc w:val="center"/>
              <w:rPr>
                <w:rFonts w:ascii="Times New Roman" w:hAnsi="Times New Roman" w:cs="Times New Roman"/>
                <w:sz w:val="21"/>
                <w:szCs w:val="21"/>
              </w:rPr>
            </w:pPr>
            <w:r>
              <w:rPr>
                <w:sz w:val="21"/>
                <w:szCs w:val="21"/>
              </w:rPr>
              <w:t>黄家村</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933</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13</w:t>
            </w:r>
          </w:p>
        </w:tc>
        <w:tc>
          <w:tcPr>
            <w:tcW w:w="1320" w:type="dxa"/>
            <w:vAlign w:val="center"/>
          </w:tcPr>
          <w:p>
            <w:pPr>
              <w:snapToGrid w:val="0"/>
              <w:jc w:val="center"/>
              <w:rPr>
                <w:rFonts w:ascii="Times New Roman" w:hAnsi="Times New Roman" w:cs="Times New Roman"/>
                <w:sz w:val="21"/>
                <w:szCs w:val="21"/>
              </w:rPr>
            </w:pPr>
            <w:r>
              <w:rPr>
                <w:sz w:val="21"/>
                <w:szCs w:val="21"/>
              </w:rPr>
              <w:t>杏林雅园</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1100</w:t>
            </w:r>
          </w:p>
        </w:tc>
        <w:tc>
          <w:tcPr>
            <w:tcW w:w="1392" w:type="dxa"/>
            <w:vAlign w:val="center"/>
          </w:tcPr>
          <w:p>
            <w:pPr>
              <w:snapToGrid w:val="0"/>
              <w:jc w:val="center"/>
              <w:rPr>
                <w:rFonts w:ascii="Times New Roman" w:hAnsi="Times New Roman" w:cs="Times New Roman"/>
                <w:sz w:val="21"/>
                <w:szCs w:val="21"/>
              </w:rPr>
            </w:pPr>
            <w:r>
              <w:rPr>
                <w:sz w:val="21"/>
                <w:szCs w:val="21"/>
              </w:rPr>
              <w:t>杏林雅园</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1100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14</w:t>
            </w:r>
          </w:p>
        </w:tc>
        <w:tc>
          <w:tcPr>
            <w:tcW w:w="1320" w:type="dxa"/>
            <w:vAlign w:val="center"/>
          </w:tcPr>
          <w:p>
            <w:pPr>
              <w:snapToGrid w:val="0"/>
              <w:jc w:val="center"/>
              <w:rPr>
                <w:rFonts w:ascii="Times New Roman" w:hAnsi="Times New Roman" w:cs="Times New Roman"/>
                <w:sz w:val="21"/>
                <w:szCs w:val="21"/>
              </w:rPr>
            </w:pPr>
            <w:r>
              <w:rPr>
                <w:sz w:val="21"/>
                <w:szCs w:val="21"/>
              </w:rPr>
              <w:t>姚家村</w:t>
            </w:r>
          </w:p>
        </w:tc>
        <w:tc>
          <w:tcPr>
            <w:tcW w:w="668" w:type="dxa"/>
            <w:vAlign w:val="top"/>
          </w:tcPr>
          <w:p>
            <w:pPr>
              <w:jc w:val="center"/>
              <w:rPr>
                <w:rFonts w:ascii="Times New Roman" w:hAnsi="Times New Roman" w:cs="Times New Roman"/>
                <w:sz w:val="21"/>
                <w:szCs w:val="21"/>
              </w:rPr>
            </w:pPr>
            <w:r>
              <w:rPr>
                <w:sz w:val="21"/>
                <w:szCs w:val="21"/>
              </w:rPr>
              <w:t>西南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1600</w:t>
            </w:r>
          </w:p>
        </w:tc>
        <w:tc>
          <w:tcPr>
            <w:tcW w:w="1392" w:type="dxa"/>
            <w:vAlign w:val="center"/>
          </w:tcPr>
          <w:p>
            <w:pPr>
              <w:snapToGrid w:val="0"/>
              <w:jc w:val="center"/>
              <w:rPr>
                <w:rFonts w:ascii="Times New Roman" w:hAnsi="Times New Roman" w:cs="Times New Roman"/>
                <w:sz w:val="21"/>
                <w:szCs w:val="21"/>
              </w:rPr>
            </w:pPr>
            <w:r>
              <w:rPr>
                <w:sz w:val="21"/>
                <w:szCs w:val="21"/>
              </w:rPr>
              <w:t>姚家村</w:t>
            </w:r>
          </w:p>
        </w:tc>
        <w:tc>
          <w:tcPr>
            <w:tcW w:w="696" w:type="dxa"/>
            <w:vAlign w:val="top"/>
          </w:tcPr>
          <w:p>
            <w:pPr>
              <w:jc w:val="center"/>
              <w:rPr>
                <w:rFonts w:ascii="Times New Roman" w:hAnsi="Times New Roman" w:cs="Times New Roman"/>
                <w:sz w:val="21"/>
                <w:szCs w:val="21"/>
              </w:rPr>
            </w:pPr>
            <w:r>
              <w:rPr>
                <w:sz w:val="21"/>
                <w:szCs w:val="21"/>
              </w:rPr>
              <w:t>西南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1600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15</w:t>
            </w:r>
          </w:p>
        </w:tc>
        <w:tc>
          <w:tcPr>
            <w:tcW w:w="1320" w:type="dxa"/>
            <w:vAlign w:val="center"/>
          </w:tcPr>
          <w:p>
            <w:pPr>
              <w:snapToGrid w:val="0"/>
              <w:jc w:val="center"/>
              <w:rPr>
                <w:rFonts w:ascii="Times New Roman" w:hAnsi="Times New Roman" w:cs="Times New Roman"/>
                <w:sz w:val="21"/>
                <w:szCs w:val="21"/>
              </w:rPr>
            </w:pPr>
            <w:r>
              <w:rPr>
                <w:sz w:val="21"/>
                <w:szCs w:val="21"/>
              </w:rPr>
              <w:t>赵家堡</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392" w:type="dxa"/>
            <w:vAlign w:val="center"/>
          </w:tcPr>
          <w:p>
            <w:pPr>
              <w:snapToGrid w:val="0"/>
              <w:jc w:val="center"/>
              <w:rPr>
                <w:rFonts w:ascii="Times New Roman" w:hAnsi="Times New Roman" w:cs="Times New Roman"/>
                <w:sz w:val="21"/>
                <w:szCs w:val="21"/>
              </w:rPr>
            </w:pPr>
            <w:r>
              <w:rPr>
                <w:sz w:val="21"/>
                <w:szCs w:val="21"/>
              </w:rPr>
              <w:t>赵家堡</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16</w:t>
            </w:r>
          </w:p>
        </w:tc>
        <w:tc>
          <w:tcPr>
            <w:tcW w:w="1320" w:type="dxa"/>
            <w:vAlign w:val="center"/>
          </w:tcPr>
          <w:p>
            <w:pPr>
              <w:snapToGrid w:val="0"/>
              <w:jc w:val="center"/>
              <w:rPr>
                <w:rFonts w:ascii="Times New Roman" w:hAnsi="Times New Roman" w:cs="Times New Roman"/>
                <w:sz w:val="21"/>
                <w:szCs w:val="21"/>
              </w:rPr>
            </w:pPr>
            <w:r>
              <w:rPr>
                <w:sz w:val="21"/>
                <w:szCs w:val="21"/>
              </w:rPr>
              <w:t>金花村</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392" w:type="dxa"/>
            <w:vAlign w:val="center"/>
          </w:tcPr>
          <w:p>
            <w:pPr>
              <w:snapToGrid w:val="0"/>
              <w:jc w:val="center"/>
              <w:rPr>
                <w:rFonts w:ascii="Times New Roman" w:hAnsi="Times New Roman" w:cs="Times New Roman"/>
                <w:sz w:val="21"/>
                <w:szCs w:val="21"/>
              </w:rPr>
            </w:pPr>
            <w:r>
              <w:rPr>
                <w:sz w:val="21"/>
                <w:szCs w:val="21"/>
              </w:rPr>
              <w:t>金花村</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17</w:t>
            </w:r>
          </w:p>
        </w:tc>
        <w:tc>
          <w:tcPr>
            <w:tcW w:w="1320" w:type="dxa"/>
            <w:vAlign w:val="center"/>
          </w:tcPr>
          <w:p>
            <w:pPr>
              <w:snapToGrid w:val="0"/>
              <w:jc w:val="center"/>
              <w:rPr>
                <w:rFonts w:ascii="Times New Roman" w:hAnsi="Times New Roman" w:cs="Times New Roman"/>
                <w:sz w:val="21"/>
                <w:szCs w:val="21"/>
              </w:rPr>
            </w:pPr>
            <w:r>
              <w:rPr>
                <w:sz w:val="21"/>
                <w:szCs w:val="21"/>
              </w:rPr>
              <w:t>郝家村</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2300</w:t>
            </w:r>
          </w:p>
        </w:tc>
        <w:tc>
          <w:tcPr>
            <w:tcW w:w="1392" w:type="dxa"/>
            <w:vAlign w:val="center"/>
          </w:tcPr>
          <w:p>
            <w:pPr>
              <w:snapToGrid w:val="0"/>
              <w:jc w:val="center"/>
              <w:rPr>
                <w:rFonts w:ascii="Times New Roman" w:hAnsi="Times New Roman" w:cs="Times New Roman"/>
                <w:sz w:val="21"/>
                <w:szCs w:val="21"/>
              </w:rPr>
            </w:pPr>
            <w:r>
              <w:rPr>
                <w:sz w:val="21"/>
                <w:szCs w:val="21"/>
              </w:rPr>
              <w:t>郝家村</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2300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18</w:t>
            </w:r>
          </w:p>
        </w:tc>
        <w:tc>
          <w:tcPr>
            <w:tcW w:w="1320" w:type="dxa"/>
            <w:vAlign w:val="center"/>
          </w:tcPr>
          <w:p>
            <w:pPr>
              <w:snapToGrid w:val="0"/>
              <w:jc w:val="center"/>
              <w:rPr>
                <w:rFonts w:ascii="Times New Roman" w:hAnsi="Times New Roman" w:cs="Times New Roman"/>
                <w:sz w:val="21"/>
                <w:szCs w:val="21"/>
              </w:rPr>
            </w:pPr>
            <w:r>
              <w:rPr>
                <w:sz w:val="21"/>
                <w:szCs w:val="21"/>
              </w:rPr>
              <w:t>张家村</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2400</w:t>
            </w:r>
          </w:p>
        </w:tc>
        <w:tc>
          <w:tcPr>
            <w:tcW w:w="1392" w:type="dxa"/>
            <w:vAlign w:val="center"/>
          </w:tcPr>
          <w:p>
            <w:pPr>
              <w:snapToGrid w:val="0"/>
              <w:jc w:val="center"/>
              <w:rPr>
                <w:rFonts w:ascii="Times New Roman" w:hAnsi="Times New Roman" w:cs="Times New Roman"/>
                <w:sz w:val="21"/>
                <w:szCs w:val="21"/>
              </w:rPr>
            </w:pPr>
            <w:r>
              <w:rPr>
                <w:sz w:val="21"/>
                <w:szCs w:val="21"/>
              </w:rPr>
              <w:t>张家村</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2400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19</w:t>
            </w:r>
          </w:p>
        </w:tc>
        <w:tc>
          <w:tcPr>
            <w:tcW w:w="1320" w:type="dxa"/>
            <w:vAlign w:val="center"/>
          </w:tcPr>
          <w:p>
            <w:pPr>
              <w:snapToGrid w:val="0"/>
              <w:jc w:val="center"/>
              <w:rPr>
                <w:rFonts w:ascii="Times New Roman" w:hAnsi="Times New Roman" w:cs="Times New Roman"/>
                <w:sz w:val="21"/>
                <w:szCs w:val="21"/>
              </w:rPr>
            </w:pPr>
            <w:r>
              <w:rPr>
                <w:sz w:val="21"/>
                <w:szCs w:val="21"/>
              </w:rPr>
              <w:t>步前村</w:t>
            </w:r>
          </w:p>
        </w:tc>
        <w:tc>
          <w:tcPr>
            <w:tcW w:w="668" w:type="dxa"/>
            <w:vAlign w:val="top"/>
          </w:tcPr>
          <w:p>
            <w:pPr>
              <w:jc w:val="center"/>
              <w:rPr>
                <w:rFonts w:ascii="Times New Roman" w:hAnsi="Times New Roman" w:cs="Times New Roman"/>
                <w:sz w:val="21"/>
                <w:szCs w:val="21"/>
              </w:rPr>
            </w:pPr>
            <w:r>
              <w:rPr>
                <w:sz w:val="21"/>
                <w:szCs w:val="21"/>
              </w:rPr>
              <w:t>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2300</w:t>
            </w:r>
          </w:p>
        </w:tc>
        <w:tc>
          <w:tcPr>
            <w:tcW w:w="1392" w:type="dxa"/>
            <w:vAlign w:val="center"/>
          </w:tcPr>
          <w:p>
            <w:pPr>
              <w:snapToGrid w:val="0"/>
              <w:jc w:val="center"/>
              <w:rPr>
                <w:rFonts w:ascii="Times New Roman" w:hAnsi="Times New Roman" w:cs="Times New Roman"/>
                <w:sz w:val="21"/>
                <w:szCs w:val="21"/>
              </w:rPr>
            </w:pPr>
            <w:r>
              <w:rPr>
                <w:sz w:val="21"/>
                <w:szCs w:val="21"/>
              </w:rPr>
              <w:t>步前村</w:t>
            </w:r>
          </w:p>
        </w:tc>
        <w:tc>
          <w:tcPr>
            <w:tcW w:w="696" w:type="dxa"/>
            <w:vAlign w:val="top"/>
          </w:tcPr>
          <w:p>
            <w:pPr>
              <w:jc w:val="center"/>
              <w:rPr>
                <w:rFonts w:ascii="Times New Roman" w:hAnsi="Times New Roman" w:cs="Times New Roman"/>
                <w:sz w:val="21"/>
                <w:szCs w:val="21"/>
              </w:rPr>
            </w:pPr>
            <w:r>
              <w:rPr>
                <w:sz w:val="21"/>
                <w:szCs w:val="21"/>
              </w:rPr>
              <w:t>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2300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20</w:t>
            </w:r>
          </w:p>
        </w:tc>
        <w:tc>
          <w:tcPr>
            <w:tcW w:w="1320" w:type="dxa"/>
            <w:vAlign w:val="center"/>
          </w:tcPr>
          <w:p>
            <w:pPr>
              <w:snapToGrid w:val="0"/>
              <w:jc w:val="center"/>
              <w:rPr>
                <w:rFonts w:ascii="Times New Roman" w:hAnsi="Times New Roman" w:cs="Times New Roman"/>
                <w:sz w:val="21"/>
                <w:szCs w:val="21"/>
              </w:rPr>
            </w:pPr>
            <w:r>
              <w:rPr>
                <w:sz w:val="21"/>
                <w:szCs w:val="21"/>
              </w:rPr>
              <w:t>王贺村</w:t>
            </w:r>
          </w:p>
        </w:tc>
        <w:tc>
          <w:tcPr>
            <w:tcW w:w="668" w:type="dxa"/>
            <w:vAlign w:val="top"/>
          </w:tcPr>
          <w:p>
            <w:pPr>
              <w:jc w:val="center"/>
              <w:rPr>
                <w:rFonts w:ascii="Times New Roman" w:hAnsi="Times New Roman" w:cs="Times New Roman"/>
                <w:sz w:val="21"/>
                <w:szCs w:val="21"/>
              </w:rPr>
            </w:pPr>
            <w:r>
              <w:rPr>
                <w:sz w:val="21"/>
                <w:szCs w:val="21"/>
              </w:rPr>
              <w:t>东南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392" w:type="dxa"/>
            <w:vAlign w:val="center"/>
          </w:tcPr>
          <w:p>
            <w:pPr>
              <w:snapToGrid w:val="0"/>
              <w:jc w:val="center"/>
              <w:rPr>
                <w:rFonts w:ascii="Times New Roman" w:hAnsi="Times New Roman" w:cs="Times New Roman"/>
                <w:sz w:val="21"/>
                <w:szCs w:val="21"/>
              </w:rPr>
            </w:pPr>
            <w:r>
              <w:rPr>
                <w:sz w:val="21"/>
                <w:szCs w:val="21"/>
              </w:rPr>
              <w:t>王贺村</w:t>
            </w:r>
          </w:p>
        </w:tc>
        <w:tc>
          <w:tcPr>
            <w:tcW w:w="696" w:type="dxa"/>
            <w:vAlign w:val="top"/>
          </w:tcPr>
          <w:p>
            <w:pPr>
              <w:jc w:val="center"/>
              <w:rPr>
                <w:rFonts w:ascii="Times New Roman" w:hAnsi="Times New Roman" w:cs="Times New Roman"/>
                <w:sz w:val="21"/>
                <w:szCs w:val="21"/>
              </w:rPr>
            </w:pPr>
            <w:r>
              <w:rPr>
                <w:sz w:val="21"/>
                <w:szCs w:val="21"/>
              </w:rPr>
              <w:t>东南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1400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21</w:t>
            </w:r>
          </w:p>
        </w:tc>
        <w:tc>
          <w:tcPr>
            <w:tcW w:w="1320" w:type="dxa"/>
            <w:vAlign w:val="center"/>
          </w:tcPr>
          <w:p>
            <w:pPr>
              <w:snapToGrid w:val="0"/>
              <w:jc w:val="center"/>
              <w:rPr>
                <w:rFonts w:ascii="Times New Roman" w:hAnsi="Times New Roman" w:cs="Times New Roman"/>
                <w:sz w:val="21"/>
                <w:szCs w:val="21"/>
              </w:rPr>
            </w:pPr>
            <w:r>
              <w:rPr>
                <w:sz w:val="21"/>
                <w:szCs w:val="21"/>
              </w:rPr>
              <w:t>整合小区</w:t>
            </w:r>
          </w:p>
        </w:tc>
        <w:tc>
          <w:tcPr>
            <w:tcW w:w="668" w:type="dxa"/>
            <w:vAlign w:val="top"/>
          </w:tcPr>
          <w:p>
            <w:pPr>
              <w:jc w:val="center"/>
              <w:rPr>
                <w:rFonts w:ascii="Times New Roman" w:hAnsi="Times New Roman" w:cs="Times New Roman"/>
                <w:sz w:val="21"/>
                <w:szCs w:val="21"/>
              </w:rPr>
            </w:pPr>
            <w:r>
              <w:rPr>
                <w:sz w:val="21"/>
                <w:szCs w:val="21"/>
              </w:rPr>
              <w:t>东</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2200</w:t>
            </w:r>
          </w:p>
        </w:tc>
        <w:tc>
          <w:tcPr>
            <w:tcW w:w="1392" w:type="dxa"/>
            <w:vAlign w:val="center"/>
          </w:tcPr>
          <w:p>
            <w:pPr>
              <w:snapToGrid w:val="0"/>
              <w:jc w:val="center"/>
              <w:rPr>
                <w:rFonts w:ascii="Times New Roman" w:hAnsi="Times New Roman" w:cs="Times New Roman"/>
                <w:sz w:val="21"/>
                <w:szCs w:val="21"/>
              </w:rPr>
            </w:pPr>
            <w:r>
              <w:rPr>
                <w:sz w:val="21"/>
                <w:szCs w:val="21"/>
              </w:rPr>
              <w:t>整合小区</w:t>
            </w:r>
          </w:p>
        </w:tc>
        <w:tc>
          <w:tcPr>
            <w:tcW w:w="696" w:type="dxa"/>
            <w:vAlign w:val="top"/>
          </w:tcPr>
          <w:p>
            <w:pPr>
              <w:jc w:val="center"/>
              <w:rPr>
                <w:rFonts w:ascii="Times New Roman" w:hAnsi="Times New Roman" w:cs="Times New Roman"/>
                <w:sz w:val="21"/>
                <w:szCs w:val="21"/>
              </w:rPr>
            </w:pPr>
            <w:r>
              <w:rPr>
                <w:sz w:val="21"/>
                <w:szCs w:val="21"/>
              </w:rPr>
              <w:t>东</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2200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22</w:t>
            </w:r>
          </w:p>
        </w:tc>
        <w:tc>
          <w:tcPr>
            <w:tcW w:w="1320" w:type="dxa"/>
            <w:vAlign w:val="center"/>
          </w:tcPr>
          <w:p>
            <w:pPr>
              <w:snapToGrid w:val="0"/>
              <w:jc w:val="center"/>
              <w:rPr>
                <w:rFonts w:ascii="Times New Roman" w:hAnsi="Times New Roman" w:cs="Times New Roman"/>
                <w:sz w:val="21"/>
                <w:szCs w:val="21"/>
              </w:rPr>
            </w:pPr>
            <w:r>
              <w:rPr>
                <w:sz w:val="21"/>
                <w:szCs w:val="21"/>
              </w:rPr>
              <w:t>南黄村</w:t>
            </w:r>
          </w:p>
        </w:tc>
        <w:tc>
          <w:tcPr>
            <w:tcW w:w="668" w:type="dxa"/>
            <w:vAlign w:val="top"/>
          </w:tcPr>
          <w:p>
            <w:pPr>
              <w:jc w:val="center"/>
              <w:rPr>
                <w:rFonts w:ascii="Times New Roman" w:hAnsi="Times New Roman" w:cs="Times New Roman"/>
                <w:sz w:val="21"/>
                <w:szCs w:val="21"/>
              </w:rPr>
            </w:pPr>
            <w:r>
              <w:rPr>
                <w:sz w:val="21"/>
                <w:szCs w:val="21"/>
              </w:rPr>
              <w:t>东北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1800</w:t>
            </w:r>
          </w:p>
        </w:tc>
        <w:tc>
          <w:tcPr>
            <w:tcW w:w="1392" w:type="dxa"/>
            <w:vAlign w:val="center"/>
          </w:tcPr>
          <w:p>
            <w:pPr>
              <w:snapToGrid w:val="0"/>
              <w:jc w:val="center"/>
              <w:rPr>
                <w:rFonts w:ascii="Times New Roman" w:hAnsi="Times New Roman" w:cs="Times New Roman"/>
                <w:sz w:val="21"/>
                <w:szCs w:val="21"/>
              </w:rPr>
            </w:pPr>
            <w:r>
              <w:rPr>
                <w:sz w:val="21"/>
                <w:szCs w:val="21"/>
              </w:rPr>
              <w:t>南黄村</w:t>
            </w:r>
          </w:p>
        </w:tc>
        <w:tc>
          <w:tcPr>
            <w:tcW w:w="696" w:type="dxa"/>
            <w:vAlign w:val="top"/>
          </w:tcPr>
          <w:p>
            <w:pPr>
              <w:jc w:val="center"/>
              <w:rPr>
                <w:rFonts w:ascii="Times New Roman" w:hAnsi="Times New Roman" w:cs="Times New Roman"/>
                <w:sz w:val="21"/>
                <w:szCs w:val="21"/>
              </w:rPr>
            </w:pPr>
            <w:r>
              <w:rPr>
                <w:sz w:val="21"/>
                <w:szCs w:val="21"/>
              </w:rPr>
              <w:t>东北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1800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23</w:t>
            </w:r>
          </w:p>
        </w:tc>
        <w:tc>
          <w:tcPr>
            <w:tcW w:w="1320" w:type="dxa"/>
            <w:vAlign w:val="center"/>
          </w:tcPr>
          <w:p>
            <w:pPr>
              <w:snapToGrid w:val="0"/>
              <w:jc w:val="center"/>
              <w:rPr>
                <w:rFonts w:ascii="Times New Roman" w:hAnsi="Times New Roman" w:cs="Times New Roman"/>
                <w:sz w:val="21"/>
                <w:szCs w:val="21"/>
              </w:rPr>
            </w:pPr>
            <w:r>
              <w:rPr>
                <w:sz w:val="21"/>
                <w:szCs w:val="21"/>
              </w:rPr>
              <w:t>王家村</w:t>
            </w:r>
          </w:p>
        </w:tc>
        <w:tc>
          <w:tcPr>
            <w:tcW w:w="668" w:type="dxa"/>
            <w:vAlign w:val="top"/>
          </w:tcPr>
          <w:p>
            <w:pPr>
              <w:jc w:val="center"/>
              <w:rPr>
                <w:rFonts w:ascii="Times New Roman" w:hAnsi="Times New Roman" w:cs="Times New Roman"/>
                <w:sz w:val="21"/>
                <w:szCs w:val="21"/>
              </w:rPr>
            </w:pPr>
            <w:r>
              <w:rPr>
                <w:sz w:val="21"/>
                <w:szCs w:val="21"/>
              </w:rPr>
              <w:t>东北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392" w:type="dxa"/>
            <w:vAlign w:val="center"/>
          </w:tcPr>
          <w:p>
            <w:pPr>
              <w:snapToGrid w:val="0"/>
              <w:jc w:val="center"/>
              <w:rPr>
                <w:rFonts w:ascii="Times New Roman" w:hAnsi="Times New Roman" w:cs="Times New Roman"/>
                <w:sz w:val="21"/>
                <w:szCs w:val="21"/>
              </w:rPr>
            </w:pPr>
            <w:r>
              <w:rPr>
                <w:sz w:val="21"/>
                <w:szCs w:val="21"/>
              </w:rPr>
              <w:t>王家村</w:t>
            </w:r>
          </w:p>
        </w:tc>
        <w:tc>
          <w:tcPr>
            <w:tcW w:w="696" w:type="dxa"/>
            <w:vAlign w:val="top"/>
          </w:tcPr>
          <w:p>
            <w:pPr>
              <w:jc w:val="center"/>
              <w:rPr>
                <w:rFonts w:ascii="Times New Roman" w:hAnsi="Times New Roman" w:cs="Times New Roman"/>
                <w:sz w:val="21"/>
                <w:szCs w:val="21"/>
              </w:rPr>
            </w:pPr>
            <w:r>
              <w:rPr>
                <w:sz w:val="21"/>
                <w:szCs w:val="21"/>
              </w:rPr>
              <w:t>东北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24</w:t>
            </w:r>
          </w:p>
        </w:tc>
        <w:tc>
          <w:tcPr>
            <w:tcW w:w="1320" w:type="dxa"/>
            <w:vAlign w:val="center"/>
          </w:tcPr>
          <w:p>
            <w:pPr>
              <w:snapToGrid w:val="0"/>
              <w:jc w:val="center"/>
              <w:rPr>
                <w:rFonts w:ascii="Times New Roman" w:hAnsi="Times New Roman" w:cs="Times New Roman"/>
                <w:sz w:val="21"/>
                <w:szCs w:val="21"/>
              </w:rPr>
            </w:pPr>
            <w:r>
              <w:rPr>
                <w:sz w:val="21"/>
                <w:szCs w:val="21"/>
              </w:rPr>
              <w:t>北黄村</w:t>
            </w:r>
          </w:p>
        </w:tc>
        <w:tc>
          <w:tcPr>
            <w:tcW w:w="668" w:type="dxa"/>
            <w:vAlign w:val="top"/>
          </w:tcPr>
          <w:p>
            <w:pPr>
              <w:jc w:val="center"/>
              <w:rPr>
                <w:rFonts w:ascii="Times New Roman" w:hAnsi="Times New Roman" w:cs="Times New Roman"/>
                <w:sz w:val="21"/>
                <w:szCs w:val="21"/>
              </w:rPr>
            </w:pPr>
            <w:r>
              <w:rPr>
                <w:sz w:val="21"/>
                <w:szCs w:val="21"/>
              </w:rPr>
              <w:t>东北</w:t>
            </w:r>
          </w:p>
        </w:tc>
        <w:tc>
          <w:tcPr>
            <w:tcW w:w="1536"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392" w:type="dxa"/>
            <w:vAlign w:val="center"/>
          </w:tcPr>
          <w:p>
            <w:pPr>
              <w:snapToGrid w:val="0"/>
              <w:jc w:val="center"/>
              <w:rPr>
                <w:rFonts w:ascii="Times New Roman" w:hAnsi="Times New Roman" w:cs="Times New Roman"/>
                <w:sz w:val="21"/>
                <w:szCs w:val="21"/>
              </w:rPr>
            </w:pPr>
            <w:r>
              <w:rPr>
                <w:sz w:val="21"/>
                <w:szCs w:val="21"/>
              </w:rPr>
              <w:t>北黄村</w:t>
            </w:r>
          </w:p>
        </w:tc>
        <w:tc>
          <w:tcPr>
            <w:tcW w:w="696" w:type="dxa"/>
            <w:vAlign w:val="top"/>
          </w:tcPr>
          <w:p>
            <w:pPr>
              <w:jc w:val="center"/>
              <w:rPr>
                <w:rFonts w:ascii="Times New Roman" w:hAnsi="Times New Roman" w:cs="Times New Roman"/>
                <w:sz w:val="21"/>
                <w:szCs w:val="21"/>
              </w:rPr>
            </w:pPr>
            <w:r>
              <w:rPr>
                <w:sz w:val="21"/>
                <w:szCs w:val="21"/>
              </w:rPr>
              <w:t>东北</w:t>
            </w:r>
          </w:p>
        </w:tc>
        <w:tc>
          <w:tcPr>
            <w:tcW w:w="1500" w:type="dxa"/>
            <w:vAlign w:val="center"/>
          </w:tcPr>
          <w:p>
            <w:pPr>
              <w:snapToGrid w:val="0"/>
              <w:ind w:left="-50" w:leftChars="0" w:right="-50"/>
              <w:jc w:val="center"/>
              <w:rPr>
                <w:rFonts w:ascii="Times New Roman" w:hAnsi="Times New Roman" w:cs="Times New Roman"/>
                <w:sz w:val="21"/>
                <w:szCs w:val="21"/>
              </w:rPr>
            </w:pPr>
            <w:r>
              <w:rPr>
                <w:sz w:val="21"/>
                <w:szCs w:val="21"/>
              </w:rPr>
              <w:t>2100</w:t>
            </w:r>
          </w:p>
        </w:tc>
        <w:tc>
          <w:tcPr>
            <w:tcW w:w="1101"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25</w:t>
            </w:r>
          </w:p>
        </w:tc>
        <w:tc>
          <w:tcPr>
            <w:tcW w:w="1320" w:type="dxa"/>
            <w:vAlign w:val="center"/>
          </w:tcPr>
          <w:p>
            <w:pPr>
              <w:snapToGrid w:val="0"/>
              <w:jc w:val="center"/>
              <w:rPr>
                <w:rFonts w:ascii="Times New Roman" w:hAnsi="Times New Roman" w:cs="Times New Roman"/>
                <w:sz w:val="21"/>
                <w:szCs w:val="21"/>
              </w:rPr>
            </w:pPr>
          </w:p>
        </w:tc>
        <w:tc>
          <w:tcPr>
            <w:tcW w:w="668" w:type="dxa"/>
            <w:vAlign w:val="center"/>
          </w:tcPr>
          <w:p>
            <w:pPr>
              <w:snapToGrid w:val="0"/>
              <w:jc w:val="center"/>
              <w:rPr>
                <w:rFonts w:ascii="Times New Roman" w:hAnsi="Times New Roman" w:cs="Times New Roman"/>
                <w:sz w:val="21"/>
                <w:szCs w:val="21"/>
              </w:rPr>
            </w:pPr>
          </w:p>
        </w:tc>
        <w:tc>
          <w:tcPr>
            <w:tcW w:w="1536" w:type="dxa"/>
            <w:vAlign w:val="center"/>
          </w:tcPr>
          <w:p>
            <w:pPr>
              <w:snapToGrid w:val="0"/>
              <w:jc w:val="center"/>
              <w:rPr>
                <w:rFonts w:ascii="Times New Roman" w:hAnsi="Times New Roman" w:cs="Times New Roman"/>
                <w:sz w:val="21"/>
                <w:szCs w:val="21"/>
              </w:rPr>
            </w:pPr>
          </w:p>
        </w:tc>
        <w:tc>
          <w:tcPr>
            <w:tcW w:w="1392"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白杨村</w:t>
            </w:r>
          </w:p>
        </w:tc>
        <w:tc>
          <w:tcPr>
            <w:tcW w:w="696"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北</w:t>
            </w:r>
          </w:p>
        </w:tc>
        <w:tc>
          <w:tcPr>
            <w:tcW w:w="1500" w:type="dxa"/>
            <w:vAlign w:val="center"/>
          </w:tcPr>
          <w:p>
            <w:pPr>
              <w:snapToGrid w:val="0"/>
              <w:jc w:val="center"/>
              <w:rPr>
                <w:rFonts w:ascii="Times New Roman" w:hAnsi="Times New Roman" w:cs="Times New Roman"/>
                <w:sz w:val="21"/>
                <w:szCs w:val="21"/>
              </w:rPr>
            </w:pPr>
            <w:r>
              <w:rPr>
                <w:rFonts w:hint="eastAsia" w:ascii="Times New Roman" w:hAnsi="Times New Roman" w:cs="Times New Roman"/>
                <w:sz w:val="21"/>
                <w:szCs w:val="21"/>
                <w:lang w:val="en-US" w:eastAsia="zh-CN"/>
              </w:rPr>
              <w:t>18</w:t>
            </w:r>
            <w:r>
              <w:rPr>
                <w:rFonts w:ascii="Times New Roman" w:hAnsi="Times New Roman" w:cs="Times New Roman"/>
                <w:sz w:val="21"/>
                <w:szCs w:val="21"/>
              </w:rPr>
              <w:t>00</w:t>
            </w:r>
          </w:p>
        </w:tc>
        <w:tc>
          <w:tcPr>
            <w:tcW w:w="1101"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26</w:t>
            </w:r>
          </w:p>
        </w:tc>
        <w:tc>
          <w:tcPr>
            <w:tcW w:w="1320" w:type="dxa"/>
            <w:vAlign w:val="center"/>
          </w:tcPr>
          <w:p>
            <w:pPr>
              <w:snapToGrid w:val="0"/>
              <w:jc w:val="center"/>
              <w:rPr>
                <w:rFonts w:ascii="Times New Roman" w:hAnsi="Times New Roman" w:cs="Times New Roman"/>
                <w:sz w:val="21"/>
                <w:szCs w:val="21"/>
              </w:rPr>
            </w:pPr>
          </w:p>
        </w:tc>
        <w:tc>
          <w:tcPr>
            <w:tcW w:w="668" w:type="dxa"/>
            <w:vAlign w:val="center"/>
          </w:tcPr>
          <w:p>
            <w:pPr>
              <w:snapToGrid w:val="0"/>
              <w:jc w:val="center"/>
              <w:rPr>
                <w:rFonts w:ascii="Times New Roman" w:hAnsi="Times New Roman" w:cs="Times New Roman"/>
                <w:sz w:val="21"/>
                <w:szCs w:val="21"/>
              </w:rPr>
            </w:pPr>
          </w:p>
        </w:tc>
        <w:tc>
          <w:tcPr>
            <w:tcW w:w="1536" w:type="dxa"/>
            <w:vAlign w:val="center"/>
          </w:tcPr>
          <w:p>
            <w:pPr>
              <w:snapToGrid w:val="0"/>
              <w:jc w:val="center"/>
              <w:rPr>
                <w:rFonts w:ascii="Times New Roman" w:hAnsi="Times New Roman" w:cs="Times New Roman"/>
                <w:sz w:val="21"/>
                <w:szCs w:val="21"/>
              </w:rPr>
            </w:pPr>
          </w:p>
        </w:tc>
        <w:tc>
          <w:tcPr>
            <w:tcW w:w="1392"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桥村</w:t>
            </w:r>
          </w:p>
        </w:tc>
        <w:tc>
          <w:tcPr>
            <w:tcW w:w="696"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北</w:t>
            </w:r>
          </w:p>
        </w:tc>
        <w:tc>
          <w:tcPr>
            <w:tcW w:w="1500"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w:t>
            </w:r>
            <w:r>
              <w:rPr>
                <w:rFonts w:hint="eastAsia" w:ascii="Times New Roman" w:hAnsi="Times New Roman" w:cs="Times New Roman"/>
                <w:sz w:val="21"/>
                <w:szCs w:val="21"/>
                <w:lang w:val="en-US" w:eastAsia="zh-CN"/>
              </w:rPr>
              <w:t>1</w:t>
            </w:r>
            <w:r>
              <w:rPr>
                <w:rFonts w:ascii="Times New Roman" w:hAnsi="Times New Roman" w:cs="Times New Roman"/>
                <w:sz w:val="21"/>
                <w:szCs w:val="21"/>
              </w:rPr>
              <w:t>00</w:t>
            </w:r>
          </w:p>
        </w:tc>
        <w:tc>
          <w:tcPr>
            <w:tcW w:w="1101"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496" w:type="dxa"/>
            <w:vAlign w:val="center"/>
          </w:tcPr>
          <w:p>
            <w:pPr>
              <w:snapToGrid w:val="0"/>
              <w:jc w:val="center"/>
              <w:rPr>
                <w:rFonts w:ascii="Times New Roman" w:hAnsi="Times New Roman" w:cs="Times New Roman"/>
                <w:sz w:val="21"/>
                <w:szCs w:val="21"/>
              </w:rPr>
            </w:pPr>
            <w:r>
              <w:rPr>
                <w:rFonts w:ascii="Times New Roman" w:hAnsi="Times New Roman" w:cs="Times New Roman"/>
                <w:sz w:val="21"/>
                <w:szCs w:val="21"/>
              </w:rPr>
              <w:t>27</w:t>
            </w:r>
          </w:p>
        </w:tc>
        <w:tc>
          <w:tcPr>
            <w:tcW w:w="1320" w:type="dxa"/>
            <w:vAlign w:val="center"/>
          </w:tcPr>
          <w:p>
            <w:pPr>
              <w:snapToGrid w:val="0"/>
              <w:jc w:val="center"/>
              <w:rPr>
                <w:rFonts w:ascii="Times New Roman" w:hAnsi="Times New Roman" w:cs="Times New Roman"/>
                <w:sz w:val="21"/>
                <w:szCs w:val="21"/>
              </w:rPr>
            </w:pPr>
          </w:p>
        </w:tc>
        <w:tc>
          <w:tcPr>
            <w:tcW w:w="668" w:type="dxa"/>
            <w:vAlign w:val="center"/>
          </w:tcPr>
          <w:p>
            <w:pPr>
              <w:snapToGrid w:val="0"/>
              <w:jc w:val="center"/>
              <w:rPr>
                <w:rFonts w:ascii="Times New Roman" w:hAnsi="Times New Roman" w:cs="Times New Roman"/>
                <w:sz w:val="21"/>
                <w:szCs w:val="21"/>
              </w:rPr>
            </w:pPr>
          </w:p>
        </w:tc>
        <w:tc>
          <w:tcPr>
            <w:tcW w:w="1536" w:type="dxa"/>
            <w:vAlign w:val="center"/>
          </w:tcPr>
          <w:p>
            <w:pPr>
              <w:snapToGrid w:val="0"/>
              <w:jc w:val="center"/>
              <w:rPr>
                <w:rFonts w:ascii="Times New Roman" w:hAnsi="Times New Roman" w:cs="Times New Roman"/>
                <w:sz w:val="21"/>
                <w:szCs w:val="21"/>
              </w:rPr>
            </w:pPr>
          </w:p>
        </w:tc>
        <w:tc>
          <w:tcPr>
            <w:tcW w:w="1392"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南刘村</w:t>
            </w:r>
          </w:p>
        </w:tc>
        <w:tc>
          <w:tcPr>
            <w:tcW w:w="696"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西北</w:t>
            </w:r>
          </w:p>
        </w:tc>
        <w:tc>
          <w:tcPr>
            <w:tcW w:w="1500" w:type="dxa"/>
            <w:vAlign w:val="center"/>
          </w:tcPr>
          <w:p>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1900</w:t>
            </w:r>
          </w:p>
        </w:tc>
        <w:tc>
          <w:tcPr>
            <w:tcW w:w="1101" w:type="dxa"/>
            <w:vAlign w:val="center"/>
          </w:tcPr>
          <w:p>
            <w:pPr>
              <w:snapToGrid w:val="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新增</w:t>
            </w:r>
          </w:p>
        </w:tc>
      </w:tr>
    </w:tbl>
    <w:p>
      <w:pPr>
        <w:pStyle w:val="3"/>
        <w:ind w:firstLine="0" w:firstLineChars="0"/>
        <w:jc w:val="center"/>
        <w:rPr>
          <w:rFonts w:ascii="Times New Roman" w:hAnsi="Times New Roman" w:cs="Times New Roman"/>
          <w:b/>
          <w:szCs w:val="28"/>
        </w:rPr>
        <w:sectPr>
          <w:headerReference r:id="rId8" w:type="defaul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linePitch="312" w:charSpace="0"/>
        </w:sectPr>
      </w:pPr>
    </w:p>
    <w:p>
      <w:pPr>
        <w:jc w:val="center"/>
        <w:rPr>
          <w:rFonts w:ascii="Times New Roman" w:hAnsi="Times New Roman" w:cs="Times New Roman"/>
        </w:rPr>
      </w:pPr>
      <w:r>
        <w:rPr>
          <w:rFonts w:ascii="Calibri" w:hAnsi="Calibri" w:eastAsia="宋体" w:cs="黑体"/>
          <w:kern w:val="2"/>
          <w:sz w:val="21"/>
          <w:szCs w:val="24"/>
          <w:lang w:val="en-US" w:eastAsia="zh-CN" w:bidi="ar-SA"/>
        </w:rPr>
        <w:pict>
          <v:shape id="Rounded Rectangular Callout 1060" o:spid="_x0000_s2050" o:spt="62" type="#_x0000_t62" style="position:absolute;left:0pt;margin-left:375.6pt;margin-top:73.9pt;height:33.7pt;width:97.45pt;z-index:251694080;mso-width-relative:page;mso-height-relative:page;" fillcolor="#FFFF00" filled="t" o:preferrelative="t" stroked="t" coordsize="21600,21600" adj="-13387,49449">
            <v:path/>
            <v:fill on="t" focussize="0,0"/>
            <v:stroke color="#000000" color2="#FFFFFF" miterlimit="2"/>
            <v:imagedata gain="65536f" blacklevel="0f" gamma="0" o:title=""/>
            <o:lock v:ext="edit" position="f" selection="f" grouping="f" rotation="f" cropping="f" text="f" aspectratio="f"/>
            <v:textbox>
              <w:txbxContent>
                <w:p>
                  <w:pPr>
                    <w:rPr>
                      <w:rFonts w:hint="eastAsia" w:eastAsia="宋体"/>
                      <w:lang w:eastAsia="zh-CN"/>
                    </w:rPr>
                  </w:pPr>
                  <w:r>
                    <w:rPr>
                      <w:rFonts w:hint="eastAsia"/>
                      <w:lang w:eastAsia="zh-CN"/>
                    </w:rPr>
                    <w:t>本项目地理位置</w:t>
                  </w:r>
                </w:p>
              </w:txbxContent>
            </v:textbox>
          </v:shape>
        </w:pict>
      </w:r>
      <w:r>
        <w:rPr>
          <w:rFonts w:ascii="Times New Roman" w:hAnsi="Times New Roman" w:eastAsia="宋体" w:cs="Times New Roman"/>
          <w:kern w:val="2"/>
          <w:sz w:val="21"/>
          <w:szCs w:val="24"/>
          <w:lang w:val="en-US" w:eastAsia="zh-CN" w:bidi="ar-SA"/>
        </w:rPr>
        <w:object>
          <v:shape id="_x0000_i1025" o:spt="75" type="#_x0000_t75" style="height:392.6pt;width:648.15pt;" o:ole="t" fillcolor="#FFFFFF" filled="f" o:preferrelative="t" stroked="f" coordsize="21600,21600">
            <v:path/>
            <v:fill on="f" color2="#FFFFFF" focussize="0,0"/>
            <v:stroke on="f"/>
            <v:imagedata r:id="rId26" gain="65536f" blacklevel="0f" gamma="0" o:title=""/>
            <o:lock v:ext="edit" position="f" selection="f" grouping="f" rotation="f" cropping="f" text="f" aspectratio="f"/>
            <w10:wrap type="none"/>
            <w10:anchorlock/>
          </v:shape>
          <o:OLEObject Type="Embed" ProgID="Visio.Drawing.11" ShapeID="_x0000_i1025" DrawAspect="Content" ObjectID="_1468075725" r:id="rId25">
            <o:LockedField>false</o:LockedField>
          </o:OLEObject>
        </w:object>
      </w:r>
    </w:p>
    <w:p>
      <w:pPr>
        <w:jc w:val="center"/>
        <w:rPr>
          <w:rFonts w:ascii="Times New Roman" w:hAnsi="Times New Roman" w:eastAsia="宋体" w:cs="Times New Roman"/>
          <w:b/>
          <w:sz w:val="24"/>
        </w:rPr>
      </w:pPr>
      <w:r>
        <w:rPr>
          <w:rFonts w:ascii="Times New Roman" w:hAnsi="Times New Roman" w:cs="Times New Roman"/>
          <w:b/>
          <w:sz w:val="24"/>
        </w:rPr>
        <w:t>图3.1-1    项目地理位置图</w:t>
      </w:r>
    </w:p>
    <w:p>
      <w:pPr>
        <w:pStyle w:val="3"/>
        <w:ind w:firstLine="0" w:firstLineChars="0"/>
        <w:rPr>
          <w:rFonts w:ascii="Times New Roman" w:hAnsi="Times New Roman" w:cs="Times New Roman"/>
        </w:rPr>
        <w:sectPr>
          <w:headerReference r:id="rId10"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rPr>
          <w:rFonts w:ascii="Times New Roman" w:hAnsi="Times New Roman" w:cs="Times New Roman"/>
          <w:b/>
          <w:sz w:val="24"/>
          <w:highlight w:val="yellow"/>
        </w:rPr>
      </w:pPr>
      <w:r>
        <w:rPr>
          <w:rFonts w:ascii="Times New Roman" w:hAnsi="Times New Roman" w:cs="Times New Roman"/>
          <w:b/>
          <w:sz w:val="24"/>
          <w:highlight w:val="yellow"/>
        </w:rPr>
        <w:object>
          <v:shape id="_x0000_i1026" o:spt="75" type="#_x0000_t75" style="height:450.55pt;width:697.5pt;" o:ole="t" filled="f" o:preferrelative="t" stroked="f" coordsize="21600,21600">
            <v:path/>
            <v:fill on="f" focussize="0,0"/>
            <v:stroke on="f"/>
            <v:imagedata r:id="rId28" o:title=""/>
            <o:lock v:ext="edit" aspectratio="f"/>
            <w10:wrap type="none"/>
            <w10:anchorlock/>
          </v:shape>
          <o:OLEObject Type="Embed" ProgID="Visio.Drawing.11" ShapeID="_x0000_i1026" DrawAspect="Content" ObjectID="_1468075726" r:id="rId27">
            <o:LockedField>false</o:LockedField>
          </o:OLEObject>
        </w:object>
      </w:r>
    </w:p>
    <w:p>
      <w:pPr>
        <w:jc w:val="center"/>
        <w:rPr>
          <w:rFonts w:ascii="Times New Roman" w:hAnsi="Times New Roman" w:cs="Times New Roman"/>
          <w:b/>
          <w:sz w:val="24"/>
        </w:rPr>
      </w:pPr>
      <w:r>
        <w:rPr>
          <w:rFonts w:ascii="Times New Roman" w:hAnsi="Times New Roman" w:eastAsia="宋体" w:cs="Times New Roman"/>
          <w:kern w:val="2"/>
          <w:sz w:val="24"/>
          <w:szCs w:val="24"/>
          <w:lang w:val="en-US" w:eastAsia="zh-CN" w:bidi="ar-SA"/>
        </w:rPr>
        <w:pict>
          <v:shape id="文本框 7" o:spid="_x0000_s2051" o:spt="202" type="#_x0000_t202" style="position:absolute;left:0pt;margin-left:159.3pt;margin-top:15.4pt;height:23.5pt;width:15.8pt;z-index:2516592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w:txbxContent>
                <w:p/>
              </w:txbxContent>
            </v:textbox>
          </v:shape>
        </w:pict>
      </w:r>
      <w:r>
        <w:rPr>
          <w:rFonts w:ascii="Times New Roman" w:hAnsi="Times New Roman" w:eastAsia="宋体" w:cs="Times New Roman"/>
          <w:kern w:val="2"/>
          <w:sz w:val="24"/>
          <w:szCs w:val="24"/>
          <w:lang w:val="en-US" w:eastAsia="zh-CN" w:bidi="ar-SA"/>
        </w:rPr>
        <w:pict>
          <v:shape id="文本框 10" o:spid="_x0000_s2052" o:spt="202" type="#_x0000_t202" style="position:absolute;left:0pt;margin-left:101.45pt;margin-top:12.4pt;height:26.95pt;width:26.95pt;z-index:251658240;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w:txbxContent>
                <w:p/>
              </w:txbxContent>
            </v:textbox>
          </v:shape>
        </w:pict>
      </w:r>
      <w:r>
        <w:rPr>
          <w:rFonts w:ascii="Times New Roman" w:hAnsi="Times New Roman" w:cs="Times New Roman"/>
          <w:b/>
          <w:sz w:val="24"/>
        </w:rPr>
        <w:t>图3.1-2    四邻关系图</w:t>
      </w:r>
    </w:p>
    <w:p>
      <w:pPr>
        <w:pStyle w:val="5"/>
        <w:rPr>
          <w:rFonts w:hint="eastAsia" w:ascii="Times New Roman" w:hAnsi="Times New Roman" w:eastAsia="仿宋_GB2312" w:cs="Times New Roman"/>
          <w:b/>
          <w:szCs w:val="28"/>
          <w:lang w:eastAsia="zh-CN"/>
        </w:rPr>
      </w:pPr>
      <w:r>
        <w:rPr>
          <w:rFonts w:hint="eastAsia" w:ascii="Times New Roman" w:hAnsi="Times New Roman" w:eastAsia="仿宋_GB2312" w:cs="Times New Roman"/>
          <w:b/>
          <w:bCs/>
          <w:kern w:val="2"/>
          <w:sz w:val="28"/>
          <w:szCs w:val="28"/>
          <w:lang w:val="en-US" w:eastAsia="zh-CN" w:bidi="ar-SA"/>
        </w:rPr>
        <w:pict>
          <v:shape id="_x0000_i1027" o:spt="75" type="#_x0000_t75" style="height:417.95pt;width:697.1pt;" fillcolor="#FFFFFF" filled="f" o:preferrelative="t" stroked="f" coordsize="21600,21600">
            <v:path/>
            <v:fill on="f" color2="#FFFFFF" focussize="0,0"/>
            <v:stroke on="f"/>
            <v:imagedata r:id="rId29" gain="65536f" blacklevel="0f" gamma="0" o:title=""/>
            <o:lock v:ext="edit" position="f" selection="f" grouping="f" rotation="f" cropping="f" text="f" aspectratio="t"/>
            <w10:wrap type="none"/>
            <w10:anchorlock/>
          </v:shape>
        </w:pict>
      </w:r>
    </w:p>
    <w:p>
      <w:pPr>
        <w:jc w:val="center"/>
        <w:rPr>
          <w:rFonts w:hint="eastAsia" w:eastAsia="宋体"/>
          <w:sz w:val="24"/>
          <w:szCs w:val="24"/>
          <w:lang w:val="en-US" w:eastAsia="zh-CN"/>
        </w:rPr>
      </w:pPr>
      <w:r>
        <w:rPr>
          <w:rFonts w:hint="eastAsia"/>
          <w:b/>
          <w:bCs/>
          <w:sz w:val="24"/>
          <w:szCs w:val="24"/>
          <w:lang w:eastAsia="zh-CN"/>
        </w:rPr>
        <w:t>图</w:t>
      </w:r>
      <w:r>
        <w:rPr>
          <w:rFonts w:hint="eastAsia"/>
          <w:b/>
          <w:bCs/>
          <w:sz w:val="24"/>
          <w:szCs w:val="24"/>
          <w:lang w:val="en-US" w:eastAsia="zh-CN"/>
        </w:rPr>
        <w:t>3.1-3     总平面布置图</w:t>
      </w:r>
    </w:p>
    <w:p>
      <w:pPr>
        <w:jc w:val="center"/>
      </w:pPr>
      <w:r>
        <w:rPr>
          <w:rFonts w:ascii="Calibri" w:hAnsi="Calibri" w:eastAsia="宋体" w:cs="黑体"/>
          <w:kern w:val="2"/>
          <w:sz w:val="21"/>
          <w:szCs w:val="24"/>
          <w:lang w:val="en-US" w:eastAsia="zh-CN" w:bidi="ar-SA"/>
        </w:rPr>
        <w:pict>
          <v:shape id="Oval 7924" o:spid="_x0000_s2053" o:spt="3" type="#_x0000_t3" style="position:absolute;left:0pt;margin-left:116.4pt;margin-top:4.05pt;height:438.6pt;width:444pt;z-index:251661312;mso-width-relative:page;mso-height-relative:page;" fillcolor="#FFFFFF" filled="f" o:preferrelative="t" stroked="t" coordsize="21600,21600">
            <v:path/>
            <v:fill on="f" color2="#FFFFFF" focussize="0,0"/>
            <v:stroke weight="3pt" color="#000000" color2="#FFFFFF" miterlimit="2"/>
            <v:imagedata gain="65536f" blacklevel="0f" gamma="0" o:title=""/>
            <o:lock v:ext="edit" position="f" selection="f" grouping="f" rotation="f" cropping="f" text="f" aspectratio="f"/>
          </v:shape>
        </w:pict>
      </w:r>
      <w:r>
        <w:rPr>
          <w:rFonts w:ascii="Calibri" w:hAnsi="Calibri" w:eastAsia="宋体" w:cs="黑体"/>
          <w:kern w:val="2"/>
          <w:sz w:val="21"/>
          <w:szCs w:val="24"/>
          <w:lang w:val="en-US" w:eastAsia="zh-CN" w:bidi="ar-SA"/>
        </w:rPr>
        <w:pict>
          <v:rect id="Rectangle 7933" o:spid="_x0000_s2054" o:spt="1" style="position:absolute;left:0pt;margin-left:391.7pt;margin-top:69.9pt;height:15.15pt;width:34.15pt;z-index:25167052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jc w:val="center"/>
                    <w:rPr>
                      <w:rFonts w:hint="eastAsia" w:eastAsia="宋体"/>
                      <w:sz w:val="15"/>
                      <w:szCs w:val="15"/>
                      <w:lang w:eastAsia="zh-CN"/>
                    </w:rPr>
                  </w:pPr>
                  <w:r>
                    <w:rPr>
                      <w:rFonts w:hint="eastAsia"/>
                      <w:sz w:val="15"/>
                      <w:szCs w:val="15"/>
                      <w:lang w:eastAsia="zh-CN"/>
                    </w:rPr>
                    <w:t>桥村</w:t>
                  </w:r>
                </w:p>
              </w:txbxContent>
            </v:textbox>
          </v:rect>
        </w:pict>
      </w:r>
      <w:r>
        <w:rPr>
          <w:rFonts w:ascii="Calibri" w:hAnsi="Calibri" w:eastAsia="宋体" w:cs="黑体"/>
          <w:kern w:val="2"/>
          <w:sz w:val="21"/>
          <w:szCs w:val="24"/>
          <w:lang w:val="en-US" w:eastAsia="zh-CN" w:bidi="ar-SA"/>
        </w:rPr>
        <w:pict>
          <v:rect id="Rectangle 7931" o:spid="_x0000_s2055" o:spt="1" style="position:absolute;left:0pt;margin-left:347.1pt;margin-top:73.3pt;height:15.15pt;width:24.55pt;z-index:25166848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rFonts w:hint="eastAsia" w:eastAsia="宋体"/>
                      <w:sz w:val="15"/>
                      <w:szCs w:val="15"/>
                      <w:lang w:eastAsia="zh-CN"/>
                    </w:rPr>
                  </w:pPr>
                  <w:r>
                    <w:rPr>
                      <w:rFonts w:hint="eastAsia"/>
                      <w:sz w:val="15"/>
                      <w:szCs w:val="15"/>
                      <w:lang w:eastAsia="zh-CN"/>
                    </w:rPr>
                    <w:t>白杨村</w:t>
                  </w:r>
                </w:p>
              </w:txbxContent>
            </v:textbox>
          </v:rect>
        </w:pict>
      </w:r>
      <w:r>
        <w:rPr>
          <w:rFonts w:ascii="Times New Roman" w:hAnsi="Times New Roman" w:eastAsia="宋体" w:cs="Times New Roman"/>
          <w:kern w:val="2"/>
          <w:sz w:val="21"/>
          <w:szCs w:val="24"/>
          <w:lang w:val="en-US" w:eastAsia="zh-CN" w:bidi="ar-SA"/>
        </w:rPr>
        <w:pict>
          <v:shape id="文本框 398" o:spid="_x0000_s2056" o:spt="202" type="#_x0000_t202" style="position:absolute;left:0pt;margin-left:523.95pt;margin-top:0pt;height:69.55pt;width:70.5pt;z-index:2516930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w:txbxContent>
                <w:p>
                  <w:r>
                    <w:rPr>
                      <w:rFonts w:ascii="Calibri" w:hAnsi="Calibri" w:eastAsia="宋体" w:cs="黑体"/>
                      <w:kern w:val="2"/>
                      <w:sz w:val="21"/>
                      <w:szCs w:val="24"/>
                      <w:lang w:val="en-US" w:eastAsia="zh-CN" w:bidi="ar-SA"/>
                    </w:rPr>
                    <w:pict>
                      <v:shape id="_x0000_i1028" o:spt="75" type="#_x0000_t75" style="height:59.55pt;width:57.6pt;" fillcolor="#FFFFFF" filled="f" o:preferrelative="t" stroked="f" coordsize="21600,21600">
                        <v:path/>
                        <v:fill on="f" color2="#FFFFFF" focussize="0,0"/>
                        <v:stroke on="f"/>
                        <v:imagedata r:id="rId30" gain="65536f" blacklevel="0f" gamma="0" o:title=""/>
                        <o:lock v:ext="edit" position="f" selection="f" grouping="f" rotation="f" cropping="f" text="f" aspectratio="t"/>
                        <w10:wrap type="none"/>
                        <w10:anchorlock/>
                      </v:shape>
                    </w:pict>
                  </w:r>
                </w:p>
              </w:txbxContent>
            </v:textbox>
          </v:shape>
        </w:pict>
      </w:r>
      <w:r>
        <w:rPr>
          <w:rFonts w:ascii="Calibri" w:hAnsi="Calibri" w:eastAsia="宋体" w:cs="黑体"/>
          <w:kern w:val="2"/>
          <w:sz w:val="21"/>
          <w:szCs w:val="24"/>
          <w:lang w:val="en-US" w:eastAsia="zh-CN" w:bidi="ar-SA"/>
        </w:rPr>
        <w:pict>
          <v:rect id="Rectangle 1027" o:spid="_x0000_s2057" o:spt="1" style="position:absolute;left:0pt;margin-left:271.4pt;margin-top:371.55pt;height:13.8pt;width:27.9pt;z-index:25169203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雷刘村</w:t>
                  </w:r>
                </w:p>
              </w:txbxContent>
            </v:textbox>
          </v:rect>
        </w:pict>
      </w:r>
      <w:r>
        <w:rPr>
          <w:rFonts w:ascii="Calibri" w:hAnsi="Calibri" w:eastAsia="宋体" w:cs="黑体"/>
          <w:kern w:val="2"/>
          <w:sz w:val="21"/>
          <w:szCs w:val="24"/>
          <w:lang w:val="en-US" w:eastAsia="zh-CN" w:bidi="ar-SA"/>
        </w:rPr>
        <w:pict>
          <v:rect id="Rectangle 1028" o:spid="_x0000_s2058" o:spt="1" style="position:absolute;left:0pt;margin-left:507.3pt;margin-top:210pt;height:13.8pt;width:36.3pt;z-index:25169100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2500m</w:t>
                  </w:r>
                </w:p>
              </w:txbxContent>
            </v:textbox>
          </v:rect>
        </w:pict>
      </w:r>
      <w:r>
        <w:rPr>
          <w:rFonts w:ascii="Calibri" w:hAnsi="Calibri" w:eastAsia="宋体" w:cs="黑体"/>
          <w:kern w:val="2"/>
          <w:sz w:val="21"/>
          <w:szCs w:val="24"/>
          <w:lang w:val="en-US" w:eastAsia="zh-CN" w:bidi="ar-SA"/>
        </w:rPr>
        <w:pict>
          <v:shape id="Straight Connector 1029" o:spid="_x0000_s2059" o:spt="32" type="#_x0000_t32" style="position:absolute;left:0pt;flip:y;margin-left:344.3pt;margin-top:229.85pt;height:3pt;width:216.1pt;z-index:251689984;mso-width-relative:page;mso-height-relative:page;" o:connectortype="straight" fillcolor="#FFFFFF" filled="f" o:preferrelative="t" stroked="t" coordsize="21600,21600">
            <v:path arrowok="t"/>
            <v:fill on="f" color2="#FFFFFF" focussize="0,0"/>
            <v:stroke weight="1.25pt" color="#FF0000" color2="#FFFFFF" miterlimit="2" startarrow="block" endarrow="block"/>
            <v:imagedata gain="65536f" blacklevel="0f" gamma="0" o:title=""/>
            <o:lock v:ext="edit" position="f" selection="f" grouping="f" rotation="f" cropping="f" text="f" aspectratio="f"/>
          </v:shape>
        </w:pict>
      </w:r>
      <w:r>
        <w:rPr>
          <w:rFonts w:ascii="Calibri" w:hAnsi="Calibri" w:eastAsia="宋体" w:cs="黑体"/>
          <w:kern w:val="2"/>
          <w:sz w:val="21"/>
          <w:szCs w:val="24"/>
          <w:lang w:val="en-US" w:eastAsia="zh-CN" w:bidi="ar-SA"/>
        </w:rPr>
        <w:pict>
          <v:rect id="Rectangle 7943" o:spid="_x0000_s2060" o:spt="1" style="position:absolute;left:0pt;margin-left:419.75pt;margin-top:277.4pt;height:13.8pt;width:27.9pt;z-index:25168076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王贺村</w:t>
                  </w:r>
                </w:p>
              </w:txbxContent>
            </v:textbox>
          </v:rect>
        </w:pict>
      </w:r>
      <w:r>
        <w:rPr>
          <w:rFonts w:ascii="Calibri" w:hAnsi="Calibri" w:eastAsia="宋体" w:cs="黑体"/>
          <w:kern w:val="2"/>
          <w:sz w:val="21"/>
          <w:szCs w:val="24"/>
          <w:lang w:val="en-US" w:eastAsia="zh-CN" w:bidi="ar-SA"/>
        </w:rPr>
        <w:pict>
          <v:rect id="Rectangle 7951" o:spid="_x0000_s2061" o:spt="1" style="position:absolute;left:0pt;margin-left:391.95pt;margin-top:407.6pt;height:13.8pt;width:25.45pt;z-index:25168896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张家村</w:t>
                  </w:r>
                </w:p>
              </w:txbxContent>
            </v:textbox>
          </v:rect>
        </w:pict>
      </w:r>
      <w:r>
        <w:rPr>
          <w:rFonts w:ascii="Calibri" w:hAnsi="Calibri" w:eastAsia="宋体" w:cs="黑体"/>
          <w:kern w:val="2"/>
          <w:sz w:val="21"/>
          <w:szCs w:val="24"/>
          <w:lang w:val="en-US" w:eastAsia="zh-CN" w:bidi="ar-SA"/>
        </w:rPr>
        <w:pict>
          <v:rect id="Rectangle 7950" o:spid="_x0000_s2062" o:spt="1" style="position:absolute;left:0pt;margin-left:361.3pt;margin-top:407.6pt;height:13.8pt;width:25.45pt;z-index:25168793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郝家村</w:t>
                  </w:r>
                </w:p>
              </w:txbxContent>
            </v:textbox>
          </v:rect>
        </w:pict>
      </w:r>
      <w:r>
        <w:rPr>
          <w:rFonts w:ascii="Calibri" w:hAnsi="Calibri" w:eastAsia="宋体" w:cs="黑体"/>
          <w:kern w:val="2"/>
          <w:sz w:val="21"/>
          <w:szCs w:val="24"/>
          <w:lang w:val="en-US" w:eastAsia="zh-CN" w:bidi="ar-SA"/>
        </w:rPr>
        <w:pict>
          <v:rect id="Rectangle 7949" o:spid="_x0000_s2063" o:spt="1" style="position:absolute;left:0pt;margin-left:301.3pt;margin-top:391.35pt;height:13.8pt;width:25.45pt;z-index:25168691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金花村</w:t>
                  </w:r>
                </w:p>
              </w:txbxContent>
            </v:textbox>
          </v:rect>
        </w:pict>
      </w:r>
      <w:r>
        <w:rPr>
          <w:rFonts w:ascii="Calibri" w:hAnsi="Calibri" w:eastAsia="宋体" w:cs="黑体"/>
          <w:kern w:val="2"/>
          <w:sz w:val="21"/>
          <w:szCs w:val="24"/>
          <w:lang w:val="en-US" w:eastAsia="zh-CN" w:bidi="ar-SA"/>
        </w:rPr>
        <w:pict>
          <v:rect id="Rectangle 7948" o:spid="_x0000_s2064" o:spt="1" style="position:absolute;left:0pt;margin-left:461.2pt;margin-top:352.9pt;height:13.8pt;width:25.45pt;z-index:25168588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步前村</w:t>
                  </w:r>
                </w:p>
              </w:txbxContent>
            </v:textbox>
          </v:rect>
        </w:pict>
      </w:r>
      <w:r>
        <w:rPr>
          <w:rFonts w:ascii="Calibri" w:hAnsi="Calibri" w:eastAsia="宋体" w:cs="黑体"/>
          <w:kern w:val="2"/>
          <w:sz w:val="21"/>
          <w:szCs w:val="24"/>
          <w:lang w:val="en-US" w:eastAsia="zh-CN" w:bidi="ar-SA"/>
        </w:rPr>
        <w:pict>
          <v:rect id="Rectangle 7947" o:spid="_x0000_s2065" o:spt="1" style="position:absolute;left:0pt;margin-left:253.05pt;margin-top:330.15pt;height:13.8pt;width:25.45pt;z-index:25168486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姚家村</w:t>
                  </w:r>
                </w:p>
              </w:txbxContent>
            </v:textbox>
          </v:rect>
        </w:pict>
      </w:r>
      <w:r>
        <w:rPr>
          <w:rFonts w:ascii="Calibri" w:hAnsi="Calibri" w:eastAsia="宋体" w:cs="黑体"/>
          <w:kern w:val="2"/>
          <w:sz w:val="21"/>
          <w:szCs w:val="24"/>
          <w:lang w:val="en-US" w:eastAsia="zh-CN" w:bidi="ar-SA"/>
        </w:rPr>
        <w:pict>
          <v:rect id="Rectangle 7946" o:spid="_x0000_s2066" o:spt="1" style="position:absolute;left:0pt;margin-left:318.85pt;margin-top:306.1pt;height:13.8pt;width:25.45pt;z-index:25168384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黄家村</w:t>
                  </w:r>
                </w:p>
              </w:txbxContent>
            </v:textbox>
          </v:rect>
        </w:pict>
      </w:r>
      <w:r>
        <w:rPr>
          <w:rFonts w:ascii="Calibri" w:hAnsi="Calibri" w:eastAsia="宋体" w:cs="黑体"/>
          <w:kern w:val="2"/>
          <w:sz w:val="21"/>
          <w:szCs w:val="24"/>
          <w:lang w:val="en-US" w:eastAsia="zh-CN" w:bidi="ar-SA"/>
        </w:rPr>
        <w:pict>
          <v:rect id="Rectangle 7945" o:spid="_x0000_s2067" o:spt="1" style="position:absolute;left:0pt;margin-left:296.1pt;margin-top:339.1pt;height:13.8pt;width:25.45pt;z-index:25168281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赵家堡</w:t>
                  </w:r>
                </w:p>
              </w:txbxContent>
            </v:textbox>
          </v:rect>
        </w:pict>
      </w:r>
      <w:r>
        <w:rPr>
          <w:rFonts w:ascii="Calibri" w:hAnsi="Calibri" w:eastAsia="宋体" w:cs="黑体"/>
          <w:kern w:val="2"/>
          <w:sz w:val="21"/>
          <w:szCs w:val="24"/>
          <w:lang w:val="en-US" w:eastAsia="zh-CN" w:bidi="ar-SA"/>
        </w:rPr>
        <w:pict>
          <v:rect id="Rectangle 7944" o:spid="_x0000_s2068" o:spt="1" style="position:absolute;left:0pt;margin-left:366.75pt;margin-top:300.6pt;height:13.8pt;width:32.25pt;z-index:25168179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杏林雅园</w:t>
                  </w:r>
                </w:p>
              </w:txbxContent>
            </v:textbox>
          </v:rect>
        </w:pict>
      </w:r>
      <w:r>
        <w:rPr>
          <w:rFonts w:ascii="Calibri" w:hAnsi="Calibri" w:eastAsia="宋体" w:cs="黑体"/>
          <w:kern w:val="2"/>
          <w:sz w:val="21"/>
          <w:szCs w:val="24"/>
          <w:lang w:val="en-US" w:eastAsia="zh-CN" w:bidi="ar-SA"/>
        </w:rPr>
        <w:pict>
          <v:rect id="Rectangle 7942" o:spid="_x0000_s2069" o:spt="1" style="position:absolute;left:0pt;margin-left:381.1pt;margin-top:192.4pt;height:13.8pt;width:36.3pt;z-index:25167974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盛世佳园</w:t>
                  </w:r>
                </w:p>
              </w:txbxContent>
            </v:textbox>
          </v:rect>
        </w:pict>
      </w:r>
      <w:r>
        <w:rPr>
          <w:rFonts w:ascii="Calibri" w:hAnsi="Calibri" w:eastAsia="宋体" w:cs="黑体"/>
          <w:kern w:val="2"/>
          <w:sz w:val="21"/>
          <w:szCs w:val="24"/>
          <w:lang w:val="en-US" w:eastAsia="zh-CN" w:bidi="ar-SA"/>
        </w:rPr>
        <w:pict>
          <v:rect id="Rectangle 7941" o:spid="_x0000_s2070" o:spt="1" style="position:absolute;left:0pt;margin-left:490.4pt;margin-top:235.95pt;height:13.8pt;width:33.9pt;z-index:25167872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整合小区</w:t>
                  </w:r>
                </w:p>
              </w:txbxContent>
            </v:textbox>
          </v:rect>
        </w:pict>
      </w:r>
      <w:r>
        <w:rPr>
          <w:rFonts w:ascii="Calibri" w:hAnsi="Calibri" w:eastAsia="宋体" w:cs="黑体"/>
          <w:kern w:val="2"/>
          <w:sz w:val="21"/>
          <w:szCs w:val="24"/>
          <w:lang w:val="en-US" w:eastAsia="zh-CN" w:bidi="ar-SA"/>
        </w:rPr>
        <w:pict>
          <v:rect id="Rectangle 7940" o:spid="_x0000_s2071" o:spt="1" style="position:absolute;left:0pt;margin-left:447.65pt;margin-top:155.05pt;height:13.8pt;width:27.9pt;z-index:25167769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南黄村</w:t>
                  </w:r>
                </w:p>
              </w:txbxContent>
            </v:textbox>
          </v:rect>
        </w:pict>
      </w:r>
      <w:r>
        <w:rPr>
          <w:rFonts w:ascii="Calibri" w:hAnsi="Calibri" w:eastAsia="宋体" w:cs="黑体"/>
          <w:kern w:val="2"/>
          <w:sz w:val="21"/>
          <w:szCs w:val="24"/>
          <w:lang w:val="en-US" w:eastAsia="zh-CN" w:bidi="ar-SA"/>
        </w:rPr>
        <w:pict>
          <v:rect id="Rectangle 7939" o:spid="_x0000_s2072" o:spt="1" style="position:absolute;left:0pt;margin-left:438.45pt;margin-top:87.65pt;height:13.8pt;width:27.9pt;z-index:25167667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北黄村</w:t>
                  </w:r>
                </w:p>
              </w:txbxContent>
            </v:textbox>
          </v:rect>
        </w:pict>
      </w:r>
      <w:r>
        <w:rPr>
          <w:rFonts w:ascii="Calibri" w:hAnsi="Calibri" w:eastAsia="宋体" w:cs="黑体"/>
          <w:kern w:val="2"/>
          <w:sz w:val="21"/>
          <w:szCs w:val="24"/>
          <w:lang w:val="en-US" w:eastAsia="zh-CN" w:bidi="ar-SA"/>
        </w:rPr>
        <w:pict>
          <v:rect id="Rectangle 7938" o:spid="_x0000_s2073" o:spt="1" style="position:absolute;left:0pt;margin-left:458.75pt;margin-top:107.15pt;height:13.8pt;width:27.9pt;z-index:25167564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王家村</w:t>
                  </w:r>
                </w:p>
              </w:txbxContent>
            </v:textbox>
          </v:rect>
        </w:pict>
      </w:r>
      <w:r>
        <w:rPr>
          <w:rFonts w:ascii="Calibri" w:hAnsi="Calibri" w:eastAsia="宋体" w:cs="黑体"/>
          <w:kern w:val="2"/>
          <w:sz w:val="21"/>
          <w:szCs w:val="24"/>
          <w:lang w:val="en-US" w:eastAsia="zh-CN" w:bidi="ar-SA"/>
        </w:rPr>
        <w:pict>
          <v:rect id="Rectangle 7937" o:spid="_x0000_s2074" o:spt="1" style="position:absolute;left:0pt;margin-left:386.75pt;margin-top:118.55pt;height:13.8pt;width:27.9pt;z-index:25167462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雷刘村</w:t>
                  </w:r>
                </w:p>
              </w:txbxContent>
            </v:textbox>
          </v:rect>
        </w:pict>
      </w:r>
      <w:r>
        <w:rPr>
          <w:rFonts w:ascii="Calibri" w:hAnsi="Calibri" w:eastAsia="宋体" w:cs="黑体"/>
          <w:kern w:val="2"/>
          <w:sz w:val="21"/>
          <w:szCs w:val="24"/>
          <w:lang w:val="en-US" w:eastAsia="zh-CN" w:bidi="ar-SA"/>
        </w:rPr>
        <w:pict>
          <v:rect id="Rectangle 7936" o:spid="_x0000_s2075" o:spt="1" style="position:absolute;left:0pt;margin-left:372.95pt;margin-top:142.6pt;height:15.15pt;width:41.7pt;z-index:25167360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政和苑小区</w:t>
                  </w:r>
                </w:p>
              </w:txbxContent>
            </v:textbox>
          </v:rect>
        </w:pict>
      </w:r>
      <w:r>
        <w:rPr>
          <w:rFonts w:ascii="Calibri" w:hAnsi="Calibri" w:eastAsia="宋体" w:cs="黑体"/>
          <w:kern w:val="2"/>
          <w:sz w:val="21"/>
          <w:szCs w:val="24"/>
          <w:lang w:val="en-US" w:eastAsia="zh-CN" w:bidi="ar-SA"/>
        </w:rPr>
        <w:pict>
          <v:rect id="Rectangle 7935" o:spid="_x0000_s2076" o:spt="1" style="position:absolute;left:0pt;margin-left:304pt;margin-top:203.5pt;height:15.15pt;width:34.15pt;z-index:25167257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麻李滩村</w:t>
                  </w:r>
                </w:p>
              </w:txbxContent>
            </v:textbox>
          </v:rect>
        </w:pict>
      </w:r>
      <w:r>
        <w:rPr>
          <w:rFonts w:ascii="Calibri" w:hAnsi="Calibri" w:eastAsia="宋体" w:cs="黑体"/>
          <w:kern w:val="2"/>
          <w:sz w:val="21"/>
          <w:szCs w:val="24"/>
          <w:lang w:val="en-US" w:eastAsia="zh-CN" w:bidi="ar-SA"/>
        </w:rPr>
        <w:pict>
          <v:rect id="Rectangle 7934" o:spid="_x0000_s2077" o:spt="1" style="position:absolute;left:0pt;margin-left:321.55pt;margin-top:182.4pt;height:15.15pt;width:34.15pt;z-index:25167155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利君首座</w:t>
                  </w:r>
                </w:p>
              </w:txbxContent>
            </v:textbox>
          </v:rect>
        </w:pict>
      </w:r>
      <w:r>
        <w:rPr>
          <w:rFonts w:ascii="Calibri" w:hAnsi="Calibri" w:eastAsia="宋体" w:cs="黑体"/>
          <w:kern w:val="2"/>
          <w:sz w:val="21"/>
          <w:szCs w:val="24"/>
          <w:lang w:val="en-US" w:eastAsia="zh-CN" w:bidi="ar-SA"/>
        </w:rPr>
        <w:pict>
          <v:rect id="Rectangle 7932" o:spid="_x0000_s2078" o:spt="1" style="position:absolute;left:0pt;margin-left:198.9pt;margin-top:162.9pt;height:15.15pt;width:24.55pt;z-index:25166950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幸福城</w:t>
                  </w:r>
                </w:p>
              </w:txbxContent>
            </v:textbox>
          </v:rect>
        </w:pict>
      </w:r>
      <w:r>
        <w:rPr>
          <w:rFonts w:ascii="Calibri" w:hAnsi="Calibri" w:eastAsia="宋体" w:cs="黑体"/>
          <w:kern w:val="2"/>
          <w:sz w:val="21"/>
          <w:szCs w:val="24"/>
          <w:lang w:val="en-US" w:eastAsia="zh-CN" w:bidi="ar-SA"/>
        </w:rPr>
        <w:pict>
          <v:rect id="Rectangle 7930" o:spid="_x0000_s2079" o:spt="1" style="position:absolute;left:0pt;margin-left:244.45pt;margin-top:75.2pt;height:15.15pt;width:24.55pt;z-index:2516674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白杨村</w:t>
                  </w:r>
                </w:p>
              </w:txbxContent>
            </v:textbox>
          </v:rect>
        </w:pict>
      </w:r>
      <w:r>
        <w:rPr>
          <w:rFonts w:ascii="Calibri" w:hAnsi="Calibri" w:eastAsia="宋体" w:cs="黑体"/>
          <w:kern w:val="2"/>
          <w:sz w:val="21"/>
          <w:szCs w:val="24"/>
          <w:lang w:val="en-US" w:eastAsia="zh-CN" w:bidi="ar-SA"/>
        </w:rPr>
        <w:pict>
          <v:rect id="Rectangle 7929" o:spid="_x0000_s2080" o:spt="1" style="position:absolute;left:0pt;margin-left:178.3pt;margin-top:77.9pt;height:15.15pt;width:53.95pt;z-index:25166643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渭南市高级中学</w:t>
                  </w:r>
                </w:p>
              </w:txbxContent>
            </v:textbox>
          </v:rect>
        </w:pict>
      </w:r>
      <w:r>
        <w:rPr>
          <w:rFonts w:ascii="Calibri" w:hAnsi="Calibri" w:eastAsia="宋体" w:cs="黑体"/>
          <w:kern w:val="2"/>
          <w:sz w:val="21"/>
          <w:szCs w:val="24"/>
          <w:lang w:val="en-US" w:eastAsia="zh-CN" w:bidi="ar-SA"/>
        </w:rPr>
        <w:pict>
          <v:rect id="Rectangle 7928" o:spid="_x0000_s2081" o:spt="1" style="position:absolute;left:0pt;margin-left:153.75pt;margin-top:113.35pt;height:15.15pt;width:24.55pt;z-index:25166540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灵阳村</w:t>
                  </w:r>
                </w:p>
              </w:txbxContent>
            </v:textbox>
          </v:rect>
        </w:pict>
      </w:r>
      <w:r>
        <w:rPr>
          <w:rFonts w:ascii="Calibri" w:hAnsi="Calibri" w:eastAsia="宋体" w:cs="黑体"/>
          <w:kern w:val="2"/>
          <w:sz w:val="21"/>
          <w:szCs w:val="24"/>
          <w:lang w:val="en-US" w:eastAsia="zh-CN" w:bidi="ar-SA"/>
        </w:rPr>
        <w:pict>
          <v:rect id="Rectangle 7927" o:spid="_x0000_s2082" o:spt="1" style="position:absolute;left:0pt;margin-left:174.35pt;margin-top:247.05pt;height:15.15pt;width:24.55pt;z-index:25166438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5"/>
                      <w:szCs w:val="15"/>
                    </w:rPr>
                  </w:pPr>
                  <w:r>
                    <w:rPr>
                      <w:rFonts w:hint="eastAsia"/>
                      <w:sz w:val="15"/>
                      <w:szCs w:val="15"/>
                    </w:rPr>
                    <w:t>大闵村</w:t>
                  </w:r>
                </w:p>
              </w:txbxContent>
            </v:textbox>
          </v:rect>
        </w:pict>
      </w:r>
      <w:r>
        <w:rPr>
          <w:rFonts w:ascii="Calibri" w:hAnsi="Calibri" w:eastAsia="宋体" w:cs="黑体"/>
          <w:kern w:val="2"/>
          <w:sz w:val="21"/>
          <w:szCs w:val="24"/>
          <w:lang w:val="en-US" w:eastAsia="zh-CN" w:bidi="ar-SA"/>
        </w:rPr>
        <w:pict>
          <v:rect id="Rectangle 7926" o:spid="_x0000_s2083" o:spt="1" style="position:absolute;left:0pt;margin-left:326.75pt;margin-top:223.8pt;height:17.3pt;width:30.8pt;z-index:251663360;mso-width-relative:page;mso-height-relative:page;" fillcolor="#FFFF00" filled="t" o:preferrelative="t" stroked="t" coordsize="21600,21600">
            <v:path/>
            <v:fill on="t" focussize="0,0"/>
            <v:stroke color="#000000" color2="#FFFFFF" miterlimit="2"/>
            <v:imagedata gain="65536f" blacklevel="0f" gamma="0" o:title=""/>
            <o:lock v:ext="edit" position="f" selection="f" grouping="f" rotation="f" cropping="f" text="f" aspectratio="f"/>
            <v:textbox inset="0mm,0mm,0mm,0mm">
              <w:txbxContent>
                <w:p>
                  <w:pPr>
                    <w:rPr>
                      <w:sz w:val="18"/>
                      <w:szCs w:val="18"/>
                    </w:rPr>
                  </w:pPr>
                  <w:r>
                    <w:rPr>
                      <w:rFonts w:hint="eastAsia"/>
                      <w:sz w:val="18"/>
                      <w:szCs w:val="18"/>
                    </w:rPr>
                    <w:t>本项目</w:t>
                  </w:r>
                </w:p>
              </w:txbxContent>
            </v:textbox>
          </v:rect>
        </w:pict>
      </w:r>
      <w:r>
        <w:rPr>
          <w:rFonts w:ascii="Calibri" w:hAnsi="Calibri" w:eastAsia="宋体" w:cs="黑体"/>
          <w:kern w:val="2"/>
          <w:sz w:val="21"/>
          <w:szCs w:val="24"/>
          <w:lang w:val="en-US" w:eastAsia="zh-CN" w:bidi="ar-SA"/>
        </w:rPr>
        <w:pict>
          <v:rect id="Rectangle 7925" o:spid="_x0000_s2084" o:spt="1" style="position:absolute;left:0pt;margin-left:234.15pt;margin-top:223.8pt;height:64.95pt;width:146.95pt;z-index:251662336;mso-width-relative:page;mso-height-relative:page;" fillcolor="#FF0000" filled="f" o:preferrelative="t" stroked="t" coordsize="21600,21600">
            <v:path/>
            <v:fill on="f" color2="#FFFFFF" focussize="0,0"/>
            <v:stroke weight="1.5pt" color="#FF0000" color2="#FFFFFF" miterlimit="2"/>
            <v:imagedata gain="65536f" blacklevel="0f" gamma="0" o:title=""/>
            <o:lock v:ext="edit" position="f" selection="f" grouping="f" rotation="f" cropping="f" text="f" aspectratio="f"/>
            <v:textbox>
              <w:txbxContent>
                <w:p>
                  <w:pPr>
                    <w:rPr>
                      <w:szCs w:val="21"/>
                    </w:rPr>
                  </w:pPr>
                </w:p>
                <w:p>
                  <w:pPr>
                    <w:rPr>
                      <w:b/>
                      <w:color w:val="FF0000"/>
                      <w:szCs w:val="21"/>
                    </w:rPr>
                  </w:pPr>
                  <w:r>
                    <w:rPr>
                      <w:rFonts w:hint="eastAsia"/>
                      <w:b/>
                      <w:color w:val="FF0000"/>
                      <w:szCs w:val="21"/>
                    </w:rPr>
                    <w:t>渭化集团</w:t>
                  </w:r>
                </w:p>
              </w:txbxContent>
            </v:textbox>
          </v:rect>
        </w:pict>
      </w:r>
      <w:r>
        <w:rPr>
          <w:rFonts w:ascii="Calibri" w:hAnsi="Calibri" w:eastAsia="宋体" w:cs="黑体"/>
          <w:kern w:val="2"/>
          <w:sz w:val="21"/>
          <w:szCs w:val="24"/>
          <w:lang w:val="en-US" w:eastAsia="zh-CN" w:bidi="ar-SA"/>
        </w:rPr>
        <w:pict>
          <v:shape id="_x0000_i1029" o:spt="75" type="#_x0000_t75" style="height:448.05pt;width:492.75pt;" fillcolor="#FFFFFF" filled="f" o:preferrelative="t" stroked="f" coordsize="21600,21600">
            <v:path/>
            <v:fill on="f" color2="#FFFFFF" focussize="0,0"/>
            <v:stroke on="f"/>
            <v:imagedata r:id="rId31" gain="65536f" blacklevel="3932f" gamma="0" o:title=""/>
            <o:lock v:ext="edit" position="f" selection="f" grouping="f" rotation="f" cropping="f" text="f" aspectratio="t"/>
            <w10:wrap type="none"/>
            <w10:anchorlock/>
          </v:shape>
        </w:pict>
      </w:r>
    </w:p>
    <w:p>
      <w:pPr>
        <w:jc w:val="center"/>
        <w:rPr>
          <w:rFonts w:ascii="Times New Roman" w:hAnsi="Times New Roman" w:cs="Times New Roman"/>
        </w:rPr>
      </w:pPr>
    </w:p>
    <w:p>
      <w:pPr>
        <w:jc w:val="center"/>
        <w:rPr>
          <w:rFonts w:ascii="Times New Roman" w:hAnsi="Times New Roman" w:cs="Times New Roman"/>
          <w:b/>
          <w:sz w:val="24"/>
        </w:rPr>
      </w:pPr>
      <w:r>
        <w:rPr>
          <w:rFonts w:ascii="Times New Roman" w:hAnsi="Times New Roman" w:cs="Times New Roman"/>
          <w:b/>
          <w:sz w:val="24"/>
        </w:rPr>
        <w:t>图3.1-</w:t>
      </w:r>
      <w:r>
        <w:rPr>
          <w:rFonts w:hint="eastAsia" w:ascii="Times New Roman" w:hAnsi="Times New Roman" w:cs="Times New Roman"/>
          <w:b/>
          <w:sz w:val="24"/>
          <w:lang w:val="en-US" w:eastAsia="zh-CN"/>
        </w:rPr>
        <w:t>4</w:t>
      </w:r>
      <w:r>
        <w:rPr>
          <w:rFonts w:ascii="Times New Roman" w:hAnsi="Times New Roman" w:cs="Times New Roman"/>
          <w:b/>
          <w:sz w:val="24"/>
        </w:rPr>
        <w:t xml:space="preserve">    园区周边</w:t>
      </w:r>
      <w:r>
        <w:rPr>
          <w:rFonts w:hint="eastAsia" w:ascii="Times New Roman" w:hAnsi="Times New Roman" w:cs="Times New Roman"/>
          <w:b/>
          <w:sz w:val="24"/>
          <w:lang w:val="en-US" w:eastAsia="zh-CN"/>
        </w:rPr>
        <w:t>2.5</w:t>
      </w:r>
      <w:r>
        <w:rPr>
          <w:rFonts w:ascii="Times New Roman" w:hAnsi="Times New Roman" w:cs="Times New Roman"/>
          <w:b/>
          <w:sz w:val="24"/>
        </w:rPr>
        <w:t>km内敏感点分布图</w:t>
      </w:r>
    </w:p>
    <w:p>
      <w:pPr>
        <w:pStyle w:val="3"/>
        <w:ind w:firstLine="0" w:firstLineChars="0"/>
        <w:jc w:val="left"/>
        <w:rPr>
          <w:rFonts w:hint="eastAsia" w:ascii="Times New Roman" w:hAnsi="Times New Roman" w:eastAsia="仿宋_GB2312" w:cs="Times New Roman"/>
          <w:b/>
          <w:szCs w:val="28"/>
          <w:lang w:val="en-US" w:eastAsia="zh-CN"/>
        </w:rPr>
        <w:sectPr>
          <w:headerReference r:id="rId11" w:type="default"/>
          <w:footerReference r:id="rId12" w:type="default"/>
          <w:pgSz w:w="16838" w:h="11906" w:orient="landscape"/>
          <w:pgMar w:top="1077" w:right="1440" w:bottom="1077" w:left="1440" w:header="851" w:footer="992" w:gutter="0"/>
          <w:pgBorders>
            <w:top w:val="none" w:sz="0" w:space="0"/>
            <w:left w:val="none" w:sz="0" w:space="0"/>
            <w:bottom w:val="none" w:sz="0" w:space="0"/>
            <w:right w:val="none" w:sz="0" w:space="0"/>
          </w:pgBorders>
          <w:pgNumType w:fmt="decimal"/>
          <w:cols w:space="720" w:num="1"/>
          <w:rtlGutter w:val="0"/>
          <w:docGrid w:linePitch="312" w:charSpace="0"/>
        </w:sectPr>
      </w:pPr>
    </w:p>
    <w:p>
      <w:pPr>
        <w:pStyle w:val="5"/>
        <w:rPr>
          <w:rFonts w:ascii="Times New Roman" w:hAnsi="Times New Roman" w:cs="Times New Roman"/>
          <w:sz w:val="24"/>
          <w:szCs w:val="24"/>
        </w:rPr>
      </w:pPr>
      <w:bookmarkStart w:id="22" w:name="_Toc30733"/>
      <w:r>
        <w:rPr>
          <w:rFonts w:ascii="Times New Roman" w:hAnsi="Times New Roman" w:cs="Times New Roman"/>
          <w:sz w:val="24"/>
          <w:szCs w:val="24"/>
        </w:rPr>
        <w:t>3.2建设</w:t>
      </w:r>
      <w:bookmarkEnd w:id="16"/>
      <w:bookmarkEnd w:id="17"/>
      <w:bookmarkEnd w:id="18"/>
      <w:bookmarkEnd w:id="19"/>
      <w:bookmarkEnd w:id="20"/>
      <w:bookmarkEnd w:id="21"/>
      <w:r>
        <w:rPr>
          <w:rFonts w:ascii="Times New Roman" w:hAnsi="Times New Roman" w:cs="Times New Roman"/>
          <w:sz w:val="24"/>
          <w:szCs w:val="24"/>
        </w:rPr>
        <w:t>内容</w:t>
      </w:r>
      <w:bookmarkEnd w:id="22"/>
    </w:p>
    <w:p>
      <w:pPr>
        <w:spacing w:line="360" w:lineRule="auto"/>
        <w:ind w:firstLine="480" w:firstLineChars="200"/>
        <w:rPr>
          <w:rFonts w:ascii="Times New Roman" w:hAnsi="Times New Roman" w:cs="Times New Roman"/>
          <w:sz w:val="24"/>
        </w:rPr>
      </w:pPr>
      <w:bookmarkStart w:id="23" w:name="_Toc157307275"/>
      <w:bookmarkStart w:id="24" w:name="_Toc148191540"/>
      <w:bookmarkStart w:id="25" w:name="_Toc125366318"/>
      <w:bookmarkStart w:id="26" w:name="_Toc161134477"/>
      <w:bookmarkStart w:id="27" w:name="_Toc157703433"/>
      <w:bookmarkStart w:id="28" w:name="_Toc210190241"/>
      <w:bookmarkStart w:id="29" w:name="_Toc206728829"/>
      <w:r>
        <w:rPr>
          <w:kern w:val="0"/>
          <w:sz w:val="24"/>
        </w:rPr>
        <w:t>建设一套规模为220m</w:t>
      </w:r>
      <w:r>
        <w:rPr>
          <w:kern w:val="0"/>
          <w:sz w:val="24"/>
          <w:vertAlign w:val="superscript"/>
        </w:rPr>
        <w:t>3</w:t>
      </w:r>
      <w:r>
        <w:rPr>
          <w:kern w:val="0"/>
          <w:sz w:val="24"/>
        </w:rPr>
        <w:t>/h的废水处理装置和</w:t>
      </w:r>
      <w:r>
        <w:rPr>
          <w:sz w:val="24"/>
          <w:lang w:val="da-DK"/>
        </w:rPr>
        <w:t>一套设计处理能力为</w:t>
      </w:r>
      <w:r>
        <w:rPr>
          <w:rFonts w:hint="eastAsia"/>
          <w:sz w:val="24"/>
          <w:lang w:val="da-DK"/>
        </w:rPr>
        <w:t>150</w:t>
      </w:r>
      <w:r>
        <w:rPr>
          <w:sz w:val="24"/>
          <w:lang w:val="da-DK"/>
        </w:rPr>
        <w:t>m</w:t>
      </w:r>
      <w:r>
        <w:rPr>
          <w:sz w:val="24"/>
          <w:vertAlign w:val="superscript"/>
          <w:lang w:val="da-DK"/>
        </w:rPr>
        <w:t>3</w:t>
      </w:r>
      <w:r>
        <w:rPr>
          <w:sz w:val="24"/>
          <w:lang w:val="da-DK"/>
        </w:rPr>
        <w:t>/h的中水回用装置</w:t>
      </w:r>
      <w:r>
        <w:rPr>
          <w:sz w:val="24"/>
        </w:rPr>
        <w:t>。</w:t>
      </w:r>
      <w:r>
        <w:rPr>
          <w:rFonts w:ascii="Times New Roman" w:hAnsi="Times New Roman" w:cs="Times New Roman"/>
          <w:sz w:val="24"/>
        </w:rPr>
        <w:t>主体工程为</w:t>
      </w:r>
      <w:r>
        <w:rPr>
          <w:rFonts w:hint="eastAsia" w:ascii="Times New Roman" w:hAnsi="Times New Roman" w:cs="Times New Roman"/>
          <w:sz w:val="24"/>
          <w:lang w:eastAsia="zh-CN"/>
        </w:rPr>
        <w:t>废水处理站、中水回用站及管道工程</w:t>
      </w:r>
      <w:r>
        <w:rPr>
          <w:rFonts w:ascii="Times New Roman" w:hAnsi="Times New Roman" w:cs="Times New Roman"/>
          <w:sz w:val="24"/>
        </w:rPr>
        <w:t>，主要</w:t>
      </w:r>
      <w:r>
        <w:rPr>
          <w:sz w:val="24"/>
        </w:rPr>
        <w:t>接收现有一、二期、三期未处理</w:t>
      </w:r>
      <w:r>
        <w:rPr>
          <w:rFonts w:hint="eastAsia"/>
          <w:sz w:val="24"/>
        </w:rPr>
        <w:t>和扩能增加的</w:t>
      </w:r>
      <w:r>
        <w:rPr>
          <w:sz w:val="24"/>
        </w:rPr>
        <w:t>气化废水、708装置含硫废水、三期醋酸醋酐装置产生的双醋废水，另外，还考虑5m</w:t>
      </w:r>
      <w:r>
        <w:rPr>
          <w:sz w:val="24"/>
          <w:vertAlign w:val="superscript"/>
        </w:rPr>
        <w:t>3</w:t>
      </w:r>
      <w:r>
        <w:rPr>
          <w:sz w:val="24"/>
        </w:rPr>
        <w:t>/h的设计余量。</w:t>
      </w:r>
      <w:r>
        <w:rPr>
          <w:rFonts w:ascii="Times New Roman" w:hAnsi="Times New Roman" w:cs="Times New Roman"/>
          <w:sz w:val="24"/>
        </w:rPr>
        <w:t>辅助工程及公用工程</w:t>
      </w:r>
      <w:r>
        <w:rPr>
          <w:rFonts w:hint="eastAsia" w:ascii="Times New Roman" w:hAnsi="Times New Roman" w:cs="Times New Roman"/>
          <w:sz w:val="24"/>
          <w:lang w:eastAsia="zh-CN"/>
        </w:rPr>
        <w:t>新建综合厂房</w:t>
      </w:r>
      <w:r>
        <w:rPr>
          <w:rFonts w:ascii="Times New Roman" w:hAnsi="Times New Roman" w:cs="Times New Roman"/>
          <w:sz w:val="24"/>
        </w:rPr>
        <w:t>、</w:t>
      </w:r>
      <w:r>
        <w:rPr>
          <w:rFonts w:hint="eastAsia" w:ascii="Times New Roman" w:hAnsi="Times New Roman" w:cs="Times New Roman"/>
          <w:sz w:val="24"/>
          <w:lang w:eastAsia="zh-CN"/>
        </w:rPr>
        <w:t>泵房</w:t>
      </w:r>
      <w:r>
        <w:rPr>
          <w:rFonts w:ascii="Times New Roman" w:hAnsi="Times New Roman" w:cs="Times New Roman"/>
          <w:sz w:val="24"/>
        </w:rPr>
        <w:t>、</w:t>
      </w:r>
      <w:r>
        <w:rPr>
          <w:rFonts w:hint="eastAsia" w:ascii="Times New Roman" w:hAnsi="Times New Roman" w:cs="Times New Roman"/>
          <w:sz w:val="24"/>
          <w:lang w:eastAsia="zh-CN"/>
        </w:rPr>
        <w:t>配电室</w:t>
      </w:r>
      <w:r>
        <w:rPr>
          <w:rFonts w:ascii="Times New Roman" w:hAnsi="Times New Roman" w:cs="Times New Roman"/>
          <w:sz w:val="24"/>
        </w:rPr>
        <w:t>等</w:t>
      </w:r>
      <w:r>
        <w:rPr>
          <w:rFonts w:hint="eastAsia" w:ascii="Times New Roman" w:hAnsi="Times New Roman" w:cs="Times New Roman"/>
          <w:sz w:val="24"/>
          <w:lang w:eastAsia="zh-CN"/>
        </w:rPr>
        <w:t>，事故池、办公楼、附属用房均依托现有工程</w:t>
      </w:r>
      <w:r>
        <w:rPr>
          <w:rFonts w:ascii="Times New Roman" w:hAnsi="Times New Roman" w:cs="Times New Roman"/>
          <w:sz w:val="24"/>
        </w:rPr>
        <w:t>。建设项目组成概况见表3.2-1。</w:t>
      </w:r>
    </w:p>
    <w:p>
      <w:pPr>
        <w:spacing w:line="360" w:lineRule="auto"/>
        <w:ind w:firstLine="480" w:firstLineChars="200"/>
        <w:rPr>
          <w:rFonts w:ascii="Times New Roman" w:hAnsi="Times New Roman" w:cs="Times New Roman"/>
          <w:sz w:val="24"/>
        </w:rPr>
        <w:sectPr>
          <w:headerReference r:id="rId13" w:type="default"/>
          <w:footerReference r:id="rId14"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rPr>
          <w:rFonts w:ascii="Times New Roman" w:hAnsi="Times New Roman" w:cs="Times New Roman"/>
          <w:b/>
          <w:sz w:val="24"/>
        </w:rPr>
      </w:pPr>
      <w:r>
        <w:rPr>
          <w:rFonts w:ascii="Times New Roman" w:hAnsi="Times New Roman" w:cs="Times New Roman"/>
          <w:b/>
          <w:sz w:val="24"/>
        </w:rPr>
        <w:t>表3.2-1 建设项目组成概况表</w:t>
      </w:r>
    </w:p>
    <w:tbl>
      <w:tblPr>
        <w:tblStyle w:val="28"/>
        <w:tblW w:w="141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1269"/>
        <w:gridCol w:w="974"/>
        <w:gridCol w:w="3416"/>
        <w:gridCol w:w="933"/>
        <w:gridCol w:w="867"/>
        <w:gridCol w:w="1587"/>
        <w:gridCol w:w="1955"/>
        <w:gridCol w:w="705"/>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4174" w:type="dxa"/>
            <w:gridSpan w:val="10"/>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项目基本情况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11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项目名称</w:t>
            </w:r>
          </w:p>
        </w:tc>
        <w:tc>
          <w:tcPr>
            <w:tcW w:w="5659" w:type="dxa"/>
            <w:gridSpan w:val="3"/>
            <w:vAlign w:val="bottom"/>
          </w:tcPr>
          <w:p>
            <w:pPr>
              <w:spacing w:line="360" w:lineRule="auto"/>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废水处理及中水回用系统扩能改造项目</w:t>
            </w:r>
          </w:p>
        </w:tc>
        <w:tc>
          <w:tcPr>
            <w:tcW w:w="1800" w:type="dxa"/>
            <w:gridSpan w:val="2"/>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建设单位</w:t>
            </w:r>
          </w:p>
        </w:tc>
        <w:tc>
          <w:tcPr>
            <w:tcW w:w="5560" w:type="dxa"/>
            <w:gridSpan w:val="4"/>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渭南高新区渭河洁能有限公司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建设地点</w:t>
            </w:r>
          </w:p>
        </w:tc>
        <w:tc>
          <w:tcPr>
            <w:tcW w:w="13019" w:type="dxa"/>
            <w:gridSpan w:val="9"/>
            <w:vAlign w:val="center"/>
          </w:tcPr>
          <w:p>
            <w:pPr>
              <w:jc w:val="center"/>
              <w:rPr>
                <w:rFonts w:ascii="Times New Roman" w:hAnsi="Times New Roman" w:eastAsia="宋体" w:cs="Times New Roman"/>
                <w:szCs w:val="21"/>
              </w:rPr>
            </w:pPr>
            <w:r>
              <w:rPr>
                <w:rFonts w:ascii="Times New Roman" w:hAnsi="Times New Roman" w:eastAsia="宋体" w:cs="Times New Roman"/>
                <w:szCs w:val="21"/>
                <w:lang w:val="da-DK"/>
              </w:rPr>
              <w:t>陕西渭河煤化工集团有限责任公司（简称渭化集团）厂内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3" w:hRule="atLeast"/>
          <w:jc w:val="center"/>
        </w:trPr>
        <w:tc>
          <w:tcPr>
            <w:tcW w:w="11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总投资</w:t>
            </w:r>
          </w:p>
        </w:tc>
        <w:tc>
          <w:tcPr>
            <w:tcW w:w="9046" w:type="dxa"/>
            <w:gridSpan w:val="6"/>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实际总投资</w:t>
            </w:r>
            <w:r>
              <w:rPr>
                <w:rFonts w:hint="eastAsia" w:ascii="Times New Roman" w:hAnsi="Times New Roman" w:eastAsia="宋体" w:cs="Times New Roman"/>
                <w:color w:val="auto"/>
                <w:szCs w:val="21"/>
                <w:lang w:val="en-US" w:eastAsia="zh-CN"/>
              </w:rPr>
              <w:t>4713</w:t>
            </w:r>
            <w:r>
              <w:rPr>
                <w:rFonts w:ascii="Times New Roman" w:hAnsi="Times New Roman" w:eastAsia="宋体" w:cs="Times New Roman"/>
                <w:color w:val="auto"/>
                <w:szCs w:val="21"/>
              </w:rPr>
              <w:t>万元，环保投资为</w:t>
            </w:r>
            <w:r>
              <w:rPr>
                <w:rFonts w:hint="eastAsia" w:ascii="Times New Roman" w:hAnsi="Times New Roman" w:cs="Times New Roman"/>
                <w:color w:val="auto"/>
                <w:szCs w:val="21"/>
                <w:lang w:val="en-US" w:eastAsia="zh-CN"/>
              </w:rPr>
              <w:t>355</w:t>
            </w:r>
            <w:r>
              <w:rPr>
                <w:rFonts w:ascii="Times New Roman" w:hAnsi="Times New Roman" w:eastAsia="宋体" w:cs="Times New Roman"/>
                <w:color w:val="auto"/>
                <w:szCs w:val="21"/>
              </w:rPr>
              <w:t>万元</w:t>
            </w:r>
          </w:p>
        </w:tc>
        <w:tc>
          <w:tcPr>
            <w:tcW w:w="1955" w:type="dxa"/>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占地面积</w:t>
            </w:r>
          </w:p>
        </w:tc>
        <w:tc>
          <w:tcPr>
            <w:tcW w:w="2018" w:type="dxa"/>
            <w:gridSpan w:val="2"/>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10200</w:t>
            </w:r>
            <w:r>
              <w:rPr>
                <w:rFonts w:ascii="Times New Roman" w:hAnsi="Times New Roman" w:eastAsia="宋体" w:cs="Times New Roman"/>
                <w:color w:val="auto"/>
                <w:szCs w:val="21"/>
              </w:rPr>
              <w:t>m</w:t>
            </w:r>
            <w:r>
              <w:rPr>
                <w:rFonts w:ascii="Times New Roman" w:hAnsi="Times New Roman" w:eastAsia="宋体" w:cs="Times New Roman"/>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建设规模</w:t>
            </w:r>
          </w:p>
        </w:tc>
        <w:tc>
          <w:tcPr>
            <w:tcW w:w="13019" w:type="dxa"/>
            <w:gridSpan w:val="9"/>
            <w:vAlign w:val="center"/>
          </w:tcPr>
          <w:p>
            <w:pPr>
              <w:jc w:val="left"/>
              <w:rPr>
                <w:rFonts w:hint="eastAsia" w:ascii="Times New Roman" w:hAnsi="Times New Roman" w:eastAsia="宋体" w:cs="Times New Roman"/>
                <w:szCs w:val="21"/>
                <w:lang w:eastAsia="zh-CN"/>
              </w:rPr>
            </w:pPr>
            <w:r>
              <w:rPr>
                <w:rFonts w:ascii="Times New Roman" w:hAnsi="Times New Roman" w:eastAsia="宋体" w:cs="Times New Roman"/>
                <w:szCs w:val="21"/>
              </w:rPr>
              <w:t>本项目建设一套</w:t>
            </w:r>
            <w:r>
              <w:rPr>
                <w:rFonts w:hint="eastAsia" w:ascii="Times New Roman" w:hAnsi="Times New Roman" w:eastAsia="宋体" w:cs="Times New Roman"/>
                <w:szCs w:val="21"/>
                <w:lang w:eastAsia="zh-CN"/>
              </w:rPr>
              <w:t>设计处理能力</w:t>
            </w:r>
            <w:r>
              <w:rPr>
                <w:rFonts w:ascii="Times New Roman" w:hAnsi="Times New Roman" w:eastAsia="宋体" w:cs="Times New Roman"/>
                <w:szCs w:val="21"/>
              </w:rPr>
              <w:t>为</w:t>
            </w:r>
            <w:r>
              <w:rPr>
                <w:rFonts w:ascii="Times New Roman" w:hAnsi="Times New Roman" w:eastAsia="宋体" w:cs="Times New Roman"/>
                <w:color w:val="auto"/>
                <w:szCs w:val="21"/>
              </w:rPr>
              <w:t>220m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/h的废水处理装置和</w:t>
            </w:r>
            <w:r>
              <w:rPr>
                <w:rFonts w:ascii="Times New Roman" w:hAnsi="Times New Roman" w:eastAsia="宋体" w:cs="Times New Roman"/>
                <w:color w:val="auto"/>
                <w:szCs w:val="21"/>
                <w:lang w:val="da-DK"/>
              </w:rPr>
              <w:t>一套设计处理能力为</w:t>
            </w:r>
            <w:r>
              <w:rPr>
                <w:rFonts w:hint="eastAsia" w:ascii="Times New Roman" w:hAnsi="Times New Roman" w:eastAsia="宋体" w:cs="Times New Roman"/>
                <w:color w:val="auto"/>
                <w:szCs w:val="21"/>
                <w:lang w:val="da-DK"/>
              </w:rPr>
              <w:t>150</w:t>
            </w:r>
            <w:r>
              <w:rPr>
                <w:rFonts w:ascii="Times New Roman" w:hAnsi="Times New Roman" w:eastAsia="宋体" w:cs="Times New Roman"/>
                <w:color w:val="auto"/>
                <w:szCs w:val="21"/>
                <w:lang w:val="da-DK"/>
              </w:rPr>
              <w:t>m</w:t>
            </w:r>
            <w:r>
              <w:rPr>
                <w:rFonts w:ascii="Times New Roman" w:hAnsi="Times New Roman" w:eastAsia="宋体" w:cs="Times New Roman"/>
                <w:color w:val="auto"/>
                <w:szCs w:val="21"/>
                <w:vertAlign w:val="superscript"/>
                <w:lang w:val="da-DK"/>
              </w:rPr>
              <w:t>3</w:t>
            </w:r>
            <w:r>
              <w:rPr>
                <w:rFonts w:ascii="Times New Roman" w:hAnsi="Times New Roman" w:eastAsia="宋体" w:cs="Times New Roman"/>
                <w:color w:val="auto"/>
                <w:szCs w:val="21"/>
                <w:lang w:val="da-DK"/>
              </w:rPr>
              <w:t>/h的中水回用装置</w:t>
            </w:r>
            <w:r>
              <w:rPr>
                <w:rFonts w:hint="eastAsia" w:ascii="Times New Roman" w:hAnsi="Times New Roman" w:eastAsia="宋体" w:cs="Times New Roman"/>
                <w:color w:val="auto"/>
                <w:szCs w:val="21"/>
                <w:lang w:val="da-DK" w:eastAsia="zh-CN"/>
              </w:rPr>
              <w:t>，实际处理能力为</w:t>
            </w:r>
            <w:r>
              <w:rPr>
                <w:rFonts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0</w:t>
            </w:r>
            <w:r>
              <w:rPr>
                <w:rFonts w:ascii="Times New Roman" w:hAnsi="Times New Roman" w:eastAsia="宋体" w:cs="Times New Roman"/>
                <w:color w:val="auto"/>
                <w:szCs w:val="21"/>
              </w:rPr>
              <w:t>0m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/h的废水处理装置和</w:t>
            </w:r>
            <w:r>
              <w:rPr>
                <w:rFonts w:ascii="Times New Roman" w:hAnsi="Times New Roman" w:eastAsia="宋体" w:cs="Times New Roman"/>
                <w:color w:val="auto"/>
                <w:szCs w:val="21"/>
                <w:lang w:val="da-DK"/>
              </w:rPr>
              <w:t>一套</w:t>
            </w:r>
            <w:r>
              <w:rPr>
                <w:rFonts w:hint="eastAsia" w:ascii="Times New Roman" w:hAnsi="Times New Roman" w:eastAsia="宋体" w:cs="Times New Roman"/>
                <w:color w:val="auto"/>
                <w:szCs w:val="21"/>
                <w:lang w:val="da-DK"/>
              </w:rPr>
              <w:t>1</w:t>
            </w:r>
            <w:r>
              <w:rPr>
                <w:rFonts w:hint="eastAsia" w:ascii="Times New Roman" w:hAnsi="Times New Roman" w:eastAsia="宋体" w:cs="Times New Roman"/>
                <w:color w:val="auto"/>
                <w:szCs w:val="21"/>
                <w:lang w:val="en-US" w:eastAsia="zh-CN"/>
              </w:rPr>
              <w:t>4</w:t>
            </w:r>
            <w:r>
              <w:rPr>
                <w:rFonts w:hint="eastAsia" w:ascii="Times New Roman" w:hAnsi="Times New Roman" w:eastAsia="宋体" w:cs="Times New Roman"/>
                <w:color w:val="auto"/>
                <w:szCs w:val="21"/>
                <w:lang w:val="da-DK"/>
              </w:rPr>
              <w:t>0</w:t>
            </w:r>
            <w:r>
              <w:rPr>
                <w:rFonts w:ascii="Times New Roman" w:hAnsi="Times New Roman" w:eastAsia="宋体" w:cs="Times New Roman"/>
                <w:color w:val="auto"/>
                <w:szCs w:val="21"/>
                <w:lang w:val="da-DK"/>
              </w:rPr>
              <w:t>m</w:t>
            </w:r>
            <w:r>
              <w:rPr>
                <w:rFonts w:ascii="Times New Roman" w:hAnsi="Times New Roman" w:eastAsia="宋体" w:cs="Times New Roman"/>
                <w:color w:val="auto"/>
                <w:szCs w:val="21"/>
                <w:vertAlign w:val="superscript"/>
                <w:lang w:val="da-DK"/>
              </w:rPr>
              <w:t>3</w:t>
            </w:r>
            <w:r>
              <w:rPr>
                <w:rFonts w:ascii="Times New Roman" w:hAnsi="Times New Roman" w:eastAsia="宋体" w:cs="Times New Roman"/>
                <w:color w:val="auto"/>
                <w:szCs w:val="21"/>
                <w:lang w:val="da-DK"/>
              </w:rPr>
              <w:t>/h的中水回用装置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4174" w:type="dxa"/>
            <w:gridSpan w:val="10"/>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项目主要组成内容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1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项目</w:t>
            </w:r>
          </w:p>
        </w:tc>
        <w:tc>
          <w:tcPr>
            <w:tcW w:w="2243" w:type="dxa"/>
            <w:gridSpan w:val="2"/>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建设名称</w:t>
            </w:r>
          </w:p>
        </w:tc>
        <w:tc>
          <w:tcPr>
            <w:tcW w:w="4349" w:type="dxa"/>
            <w:gridSpan w:val="2"/>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环评建设内容</w:t>
            </w:r>
          </w:p>
        </w:tc>
        <w:tc>
          <w:tcPr>
            <w:tcW w:w="5114" w:type="dxa"/>
            <w:gridSpan w:val="4"/>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实际建设内容</w:t>
            </w:r>
          </w:p>
        </w:tc>
        <w:tc>
          <w:tcPr>
            <w:tcW w:w="1313"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0" w:hRule="atLeast"/>
          <w:jc w:val="center"/>
        </w:trPr>
        <w:tc>
          <w:tcPr>
            <w:tcW w:w="1155" w:type="dxa"/>
            <w:vMerge w:val="restart"/>
            <w:vAlign w:val="center"/>
          </w:tcPr>
          <w:p>
            <w:pPr>
              <w:jc w:val="center"/>
              <w:rPr>
                <w:rFonts w:ascii="Times New Roman" w:hAnsi="Times New Roman" w:eastAsia="宋体" w:cs="Times New Roman"/>
                <w:b w:val="0"/>
                <w:bCs/>
                <w:szCs w:val="21"/>
              </w:rPr>
            </w:pPr>
            <w:r>
              <w:rPr>
                <w:rFonts w:ascii="Times New Roman" w:hAnsi="Times New Roman" w:eastAsia="宋体" w:cs="Times New Roman"/>
                <w:b w:val="0"/>
                <w:bCs/>
                <w:szCs w:val="21"/>
              </w:rPr>
              <w:t>主体</w:t>
            </w:r>
          </w:p>
          <w:p>
            <w:pPr>
              <w:jc w:val="center"/>
              <w:rPr>
                <w:rFonts w:ascii="Times New Roman" w:hAnsi="Times New Roman" w:eastAsia="宋体" w:cs="Times New Roman"/>
                <w:b w:val="0"/>
                <w:bCs/>
                <w:szCs w:val="21"/>
              </w:rPr>
            </w:pPr>
            <w:r>
              <w:rPr>
                <w:rFonts w:ascii="Times New Roman" w:hAnsi="Times New Roman" w:eastAsia="宋体" w:cs="Times New Roman"/>
                <w:b w:val="0"/>
                <w:bCs/>
                <w:szCs w:val="21"/>
              </w:rPr>
              <w:t>工程</w:t>
            </w:r>
          </w:p>
          <w:p>
            <w:pPr>
              <w:jc w:val="center"/>
              <w:rPr>
                <w:rFonts w:ascii="Times New Roman" w:hAnsi="Times New Roman" w:eastAsia="宋体" w:cs="Times New Roman"/>
                <w:b/>
                <w:szCs w:val="21"/>
              </w:rPr>
            </w:pPr>
            <w:r>
              <w:rPr>
                <w:rFonts w:ascii="Times New Roman" w:hAnsi="Times New Roman" w:eastAsia="宋体" w:cs="Times New Roman"/>
                <w:b w:val="0"/>
                <w:bCs/>
                <w:szCs w:val="21"/>
              </w:rPr>
              <w:t>（废水处理站）</w:t>
            </w:r>
          </w:p>
        </w:tc>
        <w:tc>
          <w:tcPr>
            <w:tcW w:w="1269" w:type="dxa"/>
            <w:vMerge w:val="restart"/>
            <w:vAlign w:val="center"/>
          </w:tcPr>
          <w:p>
            <w:pPr>
              <w:widowControl/>
              <w:adjustRightInd w:val="0"/>
              <w:snapToGrid w:val="0"/>
              <w:jc w:val="center"/>
              <w:rPr>
                <w:rFonts w:ascii="Times New Roman" w:hAnsi="Times New Roman" w:eastAsia="宋体" w:cs="Times New Roman"/>
                <w:sz w:val="21"/>
                <w:szCs w:val="21"/>
              </w:rPr>
            </w:pPr>
            <w:r>
              <w:rPr>
                <w:sz w:val="21"/>
                <w:szCs w:val="21"/>
              </w:rPr>
              <w:t>气化废水、含硫废水工艺</w:t>
            </w:r>
          </w:p>
        </w:tc>
        <w:tc>
          <w:tcPr>
            <w:tcW w:w="974" w:type="dxa"/>
            <w:vAlign w:val="center"/>
          </w:tcPr>
          <w:p>
            <w:pPr>
              <w:widowControl/>
              <w:adjustRightInd w:val="0"/>
              <w:snapToGrid w:val="0"/>
              <w:jc w:val="center"/>
              <w:rPr>
                <w:rFonts w:ascii="Times New Roman" w:hAnsi="Times New Roman" w:eastAsia="宋体" w:cs="Times New Roman"/>
                <w:sz w:val="21"/>
                <w:szCs w:val="21"/>
              </w:rPr>
            </w:pPr>
            <w:r>
              <w:rPr>
                <w:sz w:val="21"/>
                <w:szCs w:val="21"/>
              </w:rPr>
              <w:t>缓冲池</w:t>
            </w:r>
          </w:p>
        </w:tc>
        <w:tc>
          <w:tcPr>
            <w:tcW w:w="4349" w:type="dxa"/>
            <w:gridSpan w:val="2"/>
            <w:vAlign w:val="center"/>
          </w:tcPr>
          <w:p>
            <w:pPr>
              <w:widowControl/>
              <w:adjustRightInd w:val="0"/>
              <w:snapToGrid w:val="0"/>
              <w:jc w:val="left"/>
              <w:rPr>
                <w:rFonts w:ascii="Times New Roman" w:hAnsi="Times New Roman" w:eastAsia="宋体" w:cs="Times New Roman"/>
                <w:sz w:val="21"/>
                <w:szCs w:val="21"/>
              </w:rPr>
            </w:pPr>
            <w:r>
              <w:rPr>
                <w:sz w:val="21"/>
                <w:szCs w:val="21"/>
              </w:rPr>
              <w:t>1座，储存和调节上游事故状态的排水及处理不合格的污水，有效容积1540m</w:t>
            </w:r>
            <w:r>
              <w:rPr>
                <w:sz w:val="21"/>
                <w:szCs w:val="21"/>
                <w:vertAlign w:val="superscript"/>
              </w:rPr>
              <w:t>3</w:t>
            </w:r>
            <w:r>
              <w:rPr>
                <w:sz w:val="21"/>
                <w:szCs w:val="21"/>
              </w:rPr>
              <w:t>。工艺尺寸：22.0×14.0×5.5m，有效水深5.0m</w:t>
            </w:r>
          </w:p>
        </w:tc>
        <w:tc>
          <w:tcPr>
            <w:tcW w:w="5114" w:type="dxa"/>
            <w:gridSpan w:val="4"/>
            <w:vAlign w:val="center"/>
          </w:tcPr>
          <w:p>
            <w:pPr>
              <w:jc w:val="left"/>
              <w:rPr>
                <w:rFonts w:ascii="Times New Roman" w:hAnsi="Times New Roman" w:eastAsia="宋体" w:cs="Times New Roman"/>
                <w:szCs w:val="21"/>
              </w:rPr>
            </w:pPr>
            <w:r>
              <w:rPr>
                <w:sz w:val="21"/>
                <w:szCs w:val="21"/>
              </w:rPr>
              <w:t>1座，储存和调节上游事故状态的排水及处理不合格的污水，有效容积</w:t>
            </w:r>
            <w:r>
              <w:rPr>
                <w:rFonts w:hint="eastAsia"/>
                <w:sz w:val="21"/>
                <w:szCs w:val="21"/>
                <w:lang w:val="en-US" w:eastAsia="zh-CN"/>
              </w:rPr>
              <w:t>1316</w:t>
            </w:r>
            <w:r>
              <w:rPr>
                <w:sz w:val="21"/>
                <w:szCs w:val="21"/>
              </w:rPr>
              <w:t>m</w:t>
            </w:r>
            <w:r>
              <w:rPr>
                <w:sz w:val="21"/>
                <w:szCs w:val="21"/>
                <w:vertAlign w:val="superscript"/>
              </w:rPr>
              <w:t>3</w:t>
            </w:r>
            <w:r>
              <w:rPr>
                <w:sz w:val="21"/>
                <w:szCs w:val="21"/>
              </w:rPr>
              <w:t>。工艺尺寸：</w:t>
            </w:r>
            <w:r>
              <w:rPr>
                <w:rFonts w:hint="eastAsia"/>
                <w:color w:val="auto"/>
              </w:rPr>
              <w:t>15</w:t>
            </w:r>
            <w:r>
              <w:rPr>
                <w:color w:val="auto"/>
              </w:rPr>
              <w:t>.0×</w:t>
            </w:r>
            <w:r>
              <w:rPr>
                <w:rFonts w:hint="eastAsia"/>
                <w:color w:val="auto"/>
              </w:rPr>
              <w:t>15</w:t>
            </w:r>
            <w:r>
              <w:rPr>
                <w:color w:val="auto"/>
              </w:rPr>
              <w:t>.0×</w:t>
            </w:r>
            <w:r>
              <w:rPr>
                <w:rFonts w:hint="eastAsia"/>
                <w:color w:val="auto"/>
              </w:rPr>
              <w:t>6</w:t>
            </w:r>
            <w:r>
              <w:rPr>
                <w:color w:val="auto"/>
              </w:rPr>
              <w:t>.5</w:t>
            </w:r>
            <w:r>
              <w:rPr>
                <w:sz w:val="21"/>
                <w:szCs w:val="21"/>
              </w:rPr>
              <w:t>m，有效水深5.0m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widowControl/>
              <w:adjustRightInd w:val="0"/>
              <w:snapToGrid w:val="0"/>
              <w:jc w:val="center"/>
              <w:rPr>
                <w:rFonts w:ascii="Times New Roman" w:hAnsi="Times New Roman" w:eastAsia="宋体" w:cs="Times New Roman"/>
                <w:sz w:val="21"/>
                <w:szCs w:val="21"/>
              </w:rPr>
            </w:pPr>
            <w:r>
              <w:rPr>
                <w:sz w:val="21"/>
                <w:szCs w:val="21"/>
              </w:rPr>
              <w:t>气化废水调节池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1座（有效容积1320m</w:t>
            </w:r>
            <w:r>
              <w:rPr>
                <w:sz w:val="21"/>
                <w:szCs w:val="21"/>
                <w:vertAlign w:val="superscript"/>
              </w:rPr>
              <w:t>3</w:t>
            </w:r>
            <w:r>
              <w:rPr>
                <w:sz w:val="21"/>
                <w:szCs w:val="21"/>
              </w:rPr>
              <w:t>，收集一期、二期、三期不能处理的气化废水和含硫废水。工艺尺寸：22.0×12.0×5.5m，有效水深5.0m）</w:t>
            </w:r>
          </w:p>
        </w:tc>
        <w:tc>
          <w:tcPr>
            <w:tcW w:w="5114" w:type="dxa"/>
            <w:gridSpan w:val="4"/>
            <w:vAlign w:val="center"/>
          </w:tcPr>
          <w:p>
            <w:pPr>
              <w:jc w:val="left"/>
              <w:rPr>
                <w:rFonts w:ascii="Times New Roman" w:hAnsi="Times New Roman" w:eastAsia="宋体" w:cs="Times New Roman"/>
                <w:szCs w:val="21"/>
              </w:rPr>
            </w:pPr>
            <w:r>
              <w:rPr>
                <w:sz w:val="21"/>
                <w:szCs w:val="21"/>
              </w:rPr>
              <w:t>1座（有效容积</w:t>
            </w:r>
            <w:r>
              <w:rPr>
                <w:rFonts w:hint="eastAsia"/>
                <w:sz w:val="21"/>
                <w:szCs w:val="21"/>
                <w:lang w:val="en-US" w:eastAsia="zh-CN"/>
              </w:rPr>
              <w:t>1316</w:t>
            </w:r>
            <w:r>
              <w:rPr>
                <w:sz w:val="21"/>
                <w:szCs w:val="21"/>
              </w:rPr>
              <w:t>m</w:t>
            </w:r>
            <w:r>
              <w:rPr>
                <w:sz w:val="21"/>
                <w:szCs w:val="21"/>
                <w:vertAlign w:val="superscript"/>
              </w:rPr>
              <w:t>3</w:t>
            </w:r>
            <w:r>
              <w:rPr>
                <w:sz w:val="21"/>
                <w:szCs w:val="21"/>
              </w:rPr>
              <w:t>，收集一期、二期、三期不能处理的气化废水和含硫废水。工艺尺寸：</w:t>
            </w:r>
            <w:r>
              <w:rPr>
                <w:rFonts w:hint="eastAsia"/>
                <w:color w:val="auto"/>
              </w:rPr>
              <w:t>15</w:t>
            </w:r>
            <w:r>
              <w:rPr>
                <w:color w:val="auto"/>
              </w:rPr>
              <w:t>.0×</w:t>
            </w:r>
            <w:r>
              <w:rPr>
                <w:rFonts w:hint="eastAsia"/>
                <w:color w:val="auto"/>
              </w:rPr>
              <w:t>15</w:t>
            </w:r>
            <w:r>
              <w:rPr>
                <w:color w:val="auto"/>
              </w:rPr>
              <w:t>.0×</w:t>
            </w:r>
            <w:r>
              <w:rPr>
                <w:rFonts w:hint="eastAsia"/>
                <w:color w:val="auto"/>
              </w:rPr>
              <w:t>6</w:t>
            </w:r>
            <w:r>
              <w:rPr>
                <w:color w:val="auto"/>
              </w:rPr>
              <w:t>.5</w:t>
            </w:r>
            <w:r>
              <w:rPr>
                <w:color w:val="auto"/>
                <w:sz w:val="21"/>
                <w:szCs w:val="21"/>
              </w:rPr>
              <w:t>m，</w:t>
            </w:r>
            <w:r>
              <w:rPr>
                <w:sz w:val="21"/>
                <w:szCs w:val="21"/>
              </w:rPr>
              <w:t>有效水深5.0m）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widowControl/>
              <w:adjustRightInd w:val="0"/>
              <w:snapToGrid w:val="0"/>
              <w:jc w:val="center"/>
              <w:rPr>
                <w:rFonts w:ascii="Times New Roman" w:hAnsi="Times New Roman" w:eastAsia="宋体" w:cs="Times New Roman"/>
                <w:sz w:val="21"/>
                <w:szCs w:val="21"/>
              </w:rPr>
            </w:pPr>
            <w:r>
              <w:rPr>
                <w:sz w:val="21"/>
                <w:szCs w:val="21"/>
              </w:rPr>
              <w:t>混凝反应池</w:t>
            </w:r>
          </w:p>
        </w:tc>
        <w:tc>
          <w:tcPr>
            <w:tcW w:w="4349" w:type="dxa"/>
            <w:gridSpan w:val="2"/>
            <w:vAlign w:val="center"/>
          </w:tcPr>
          <w:p>
            <w:pPr>
              <w:pStyle w:val="45"/>
              <w:adjustRightInd w:val="0"/>
              <w:snapToGrid w:val="0"/>
              <w:spacing w:line="240" w:lineRule="auto"/>
              <w:ind w:left="0" w:leftChars="0" w:firstLine="0" w:firstLineChars="0"/>
              <w:rPr>
                <w:rFonts w:ascii="Times New Roman" w:hAnsi="Times New Roman" w:eastAsia="宋体" w:cs="Times New Roman"/>
                <w:sz w:val="21"/>
                <w:szCs w:val="21"/>
              </w:rPr>
            </w:pPr>
            <w:r>
              <w:rPr>
                <w:sz w:val="21"/>
                <w:szCs w:val="21"/>
              </w:rPr>
              <w:t>3座（向废水中投加药剂，发生化学反应，去除水中硬度，防止结垢影响后续处理工艺），有效容积192m</w:t>
            </w:r>
            <w:r>
              <w:rPr>
                <w:sz w:val="21"/>
                <w:szCs w:val="21"/>
                <w:vertAlign w:val="superscript"/>
              </w:rPr>
              <w:t>3</w:t>
            </w:r>
            <w:r>
              <w:rPr>
                <w:sz w:val="21"/>
                <w:szCs w:val="21"/>
              </w:rPr>
              <w:t>，工艺尺寸：4.0×4.0×4.5m，有效水深4.0m</w:t>
            </w:r>
          </w:p>
        </w:tc>
        <w:tc>
          <w:tcPr>
            <w:tcW w:w="5114" w:type="dxa"/>
            <w:gridSpan w:val="4"/>
            <w:vAlign w:val="center"/>
          </w:tcPr>
          <w:p>
            <w:pPr>
              <w:jc w:val="left"/>
              <w:rPr>
                <w:rFonts w:ascii="Times New Roman" w:hAnsi="Times New Roman" w:eastAsia="宋体" w:cs="Times New Roman"/>
                <w:szCs w:val="21"/>
              </w:rPr>
            </w:pPr>
            <w:r>
              <w:rPr>
                <w:sz w:val="21"/>
                <w:szCs w:val="21"/>
              </w:rPr>
              <w:t>3座（向废水中投加药剂，发生化学反应，去除水中硬度，防止结垢影响后续处理工艺），有效容积192m</w:t>
            </w:r>
            <w:r>
              <w:rPr>
                <w:sz w:val="21"/>
                <w:szCs w:val="21"/>
                <w:vertAlign w:val="superscript"/>
              </w:rPr>
              <w:t>3</w:t>
            </w:r>
            <w:r>
              <w:rPr>
                <w:sz w:val="21"/>
                <w:szCs w:val="21"/>
              </w:rPr>
              <w:t>，工艺尺寸：4.0×4.0×4.5m，有效水深4.0m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pStyle w:val="41"/>
              <w:snapToGrid w:val="0"/>
              <w:spacing w:line="240" w:lineRule="auto"/>
              <w:ind w:firstLine="0" w:firstLineChars="0"/>
              <w:jc w:val="center"/>
              <w:rPr>
                <w:rFonts w:ascii="Times New Roman" w:hAnsi="Times New Roman" w:cs="Times New Roman"/>
                <w:sz w:val="21"/>
                <w:szCs w:val="21"/>
              </w:rPr>
            </w:pPr>
          </w:p>
        </w:tc>
        <w:tc>
          <w:tcPr>
            <w:tcW w:w="974" w:type="dxa"/>
            <w:vAlign w:val="center"/>
          </w:tcPr>
          <w:p>
            <w:pPr>
              <w:widowControl/>
              <w:adjustRightInd w:val="0"/>
              <w:snapToGrid w:val="0"/>
              <w:jc w:val="center"/>
              <w:rPr>
                <w:rFonts w:ascii="Times New Roman" w:hAnsi="Times New Roman" w:cs="Times New Roman"/>
                <w:sz w:val="21"/>
                <w:szCs w:val="21"/>
              </w:rPr>
            </w:pPr>
            <w:r>
              <w:rPr>
                <w:sz w:val="21"/>
                <w:szCs w:val="21"/>
              </w:rPr>
              <w:t>沉淀池</w:t>
            </w:r>
          </w:p>
        </w:tc>
        <w:tc>
          <w:tcPr>
            <w:tcW w:w="4349" w:type="dxa"/>
            <w:gridSpan w:val="2"/>
            <w:vAlign w:val="center"/>
          </w:tcPr>
          <w:p>
            <w:pPr>
              <w:adjustRightInd w:val="0"/>
              <w:snapToGrid w:val="0"/>
              <w:rPr>
                <w:rFonts w:ascii="Times New Roman" w:hAnsi="Times New Roman" w:eastAsia="宋体" w:cs="Times New Roman"/>
                <w:snapToGrid w:val="0"/>
                <w:kern w:val="0"/>
                <w:sz w:val="21"/>
                <w:szCs w:val="21"/>
              </w:rPr>
            </w:pPr>
            <w:r>
              <w:rPr>
                <w:sz w:val="21"/>
                <w:szCs w:val="21"/>
              </w:rPr>
              <w:t>2座，混凝反应池产生的絮体与水分离，有效容积390m</w:t>
            </w:r>
            <w:r>
              <w:rPr>
                <w:sz w:val="21"/>
                <w:szCs w:val="21"/>
                <w:vertAlign w:val="superscript"/>
              </w:rPr>
              <w:t>3</w:t>
            </w:r>
            <w:r>
              <w:rPr>
                <w:sz w:val="21"/>
                <w:szCs w:val="21"/>
              </w:rPr>
              <w:t>，工艺尺寸：Φ10.0×5.45m</w:t>
            </w:r>
          </w:p>
        </w:tc>
        <w:tc>
          <w:tcPr>
            <w:tcW w:w="5114" w:type="dxa"/>
            <w:gridSpan w:val="4"/>
            <w:vAlign w:val="center"/>
          </w:tcPr>
          <w:p>
            <w:pPr>
              <w:jc w:val="left"/>
              <w:rPr>
                <w:rFonts w:ascii="Times New Roman" w:hAnsi="Times New Roman" w:eastAsia="宋体" w:cs="Times New Roman"/>
                <w:snapToGrid w:val="0"/>
                <w:kern w:val="0"/>
                <w:szCs w:val="21"/>
              </w:rPr>
            </w:pPr>
            <w:r>
              <w:rPr>
                <w:sz w:val="21"/>
                <w:szCs w:val="21"/>
              </w:rPr>
              <w:t>2座，混凝反应池产生的絮体与水分离，有效容积390m</w:t>
            </w:r>
            <w:r>
              <w:rPr>
                <w:sz w:val="21"/>
                <w:szCs w:val="21"/>
                <w:vertAlign w:val="superscript"/>
              </w:rPr>
              <w:t>3</w:t>
            </w:r>
            <w:r>
              <w:rPr>
                <w:sz w:val="21"/>
                <w:szCs w:val="21"/>
              </w:rPr>
              <w:t>，工艺尺寸：Φ10.0×5.45m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widowControl/>
              <w:adjustRightInd w:val="0"/>
              <w:snapToGrid w:val="0"/>
              <w:jc w:val="center"/>
              <w:rPr>
                <w:rFonts w:ascii="Times New Roman" w:hAnsi="Times New Roman" w:eastAsia="宋体" w:cs="Times New Roman"/>
                <w:sz w:val="21"/>
                <w:szCs w:val="21"/>
              </w:rPr>
            </w:pPr>
            <w:r>
              <w:rPr>
                <w:sz w:val="21"/>
                <w:szCs w:val="21"/>
              </w:rPr>
              <w:t>双醋废水预处理工艺</w:t>
            </w:r>
          </w:p>
        </w:tc>
        <w:tc>
          <w:tcPr>
            <w:tcW w:w="974" w:type="dxa"/>
            <w:vAlign w:val="center"/>
          </w:tcPr>
          <w:p>
            <w:pPr>
              <w:widowControl/>
              <w:adjustRightInd w:val="0"/>
              <w:snapToGrid w:val="0"/>
              <w:jc w:val="center"/>
              <w:rPr>
                <w:rFonts w:ascii="Times New Roman" w:hAnsi="Times New Roman" w:eastAsia="宋体" w:cs="Times New Roman"/>
                <w:sz w:val="21"/>
                <w:szCs w:val="21"/>
              </w:rPr>
            </w:pPr>
            <w:r>
              <w:rPr>
                <w:sz w:val="21"/>
                <w:szCs w:val="21"/>
              </w:rPr>
              <w:t>双醋废水调节池</w:t>
            </w:r>
          </w:p>
        </w:tc>
        <w:tc>
          <w:tcPr>
            <w:tcW w:w="4349" w:type="dxa"/>
            <w:gridSpan w:val="2"/>
            <w:vAlign w:val="center"/>
          </w:tcPr>
          <w:p>
            <w:pPr>
              <w:adjustRightInd w:val="0"/>
              <w:snapToGrid w:val="0"/>
              <w:rPr>
                <w:rFonts w:ascii="Times New Roman" w:hAnsi="Times New Roman" w:eastAsia="宋体" w:cs="Times New Roman"/>
                <w:snapToGrid w:val="0"/>
                <w:kern w:val="0"/>
                <w:sz w:val="21"/>
                <w:szCs w:val="21"/>
              </w:rPr>
            </w:pPr>
            <w:r>
              <w:rPr>
                <w:sz w:val="21"/>
                <w:szCs w:val="21"/>
              </w:rPr>
              <w:t>l座，调节双醋废水水质、水量、水温、pH值等， 有效容积：300m</w:t>
            </w:r>
            <w:r>
              <w:rPr>
                <w:sz w:val="21"/>
                <w:szCs w:val="21"/>
                <w:vertAlign w:val="superscript"/>
              </w:rPr>
              <w:t>3</w:t>
            </w:r>
            <w:r>
              <w:rPr>
                <w:sz w:val="21"/>
                <w:szCs w:val="21"/>
              </w:rPr>
              <w:t>工艺尺寸：10.0×6.0×5.5m，有效水深5.0m</w:t>
            </w:r>
          </w:p>
        </w:tc>
        <w:tc>
          <w:tcPr>
            <w:tcW w:w="5114" w:type="dxa"/>
            <w:gridSpan w:val="4"/>
            <w:vAlign w:val="center"/>
          </w:tcPr>
          <w:p>
            <w:pPr>
              <w:jc w:val="left"/>
              <w:rPr>
                <w:rFonts w:ascii="Times New Roman" w:hAnsi="Times New Roman" w:eastAsia="宋体" w:cs="Times New Roman"/>
                <w:snapToGrid w:val="0"/>
                <w:kern w:val="0"/>
                <w:szCs w:val="21"/>
              </w:rPr>
            </w:pPr>
            <w:r>
              <w:rPr>
                <w:sz w:val="21"/>
                <w:szCs w:val="21"/>
              </w:rPr>
              <w:t>l座，调节双醋废水水质、水量、水温、pH值等， 有效容积：</w:t>
            </w:r>
            <w:r>
              <w:rPr>
                <w:rFonts w:hint="eastAsia"/>
                <w:sz w:val="21"/>
                <w:szCs w:val="21"/>
                <w:lang w:val="en-US" w:eastAsia="zh-CN"/>
              </w:rPr>
              <w:t>237</w:t>
            </w:r>
            <w:r>
              <w:rPr>
                <w:sz w:val="21"/>
                <w:szCs w:val="21"/>
              </w:rPr>
              <w:t>m</w:t>
            </w:r>
            <w:r>
              <w:rPr>
                <w:sz w:val="21"/>
                <w:szCs w:val="21"/>
                <w:vertAlign w:val="superscript"/>
              </w:rPr>
              <w:t>3</w:t>
            </w:r>
            <w:r>
              <w:rPr>
                <w:rFonts w:hint="eastAsia"/>
                <w:sz w:val="21"/>
                <w:szCs w:val="21"/>
                <w:lang w:eastAsia="zh-CN"/>
              </w:rPr>
              <w:t>，</w:t>
            </w:r>
            <w:r>
              <w:rPr>
                <w:sz w:val="21"/>
                <w:szCs w:val="21"/>
              </w:rPr>
              <w:t>工艺尺寸：</w:t>
            </w:r>
            <w:r>
              <w:rPr>
                <w:rFonts w:hint="eastAsia"/>
                <w:sz w:val="21"/>
                <w:szCs w:val="21"/>
              </w:rPr>
              <w:t>9</w:t>
            </w:r>
            <w:r>
              <w:rPr>
                <w:sz w:val="21"/>
                <w:szCs w:val="21"/>
              </w:rPr>
              <w:t>.0×</w:t>
            </w:r>
            <w:r>
              <w:rPr>
                <w:rFonts w:hint="eastAsia"/>
                <w:sz w:val="21"/>
                <w:szCs w:val="21"/>
              </w:rPr>
              <w:t>4</w:t>
            </w:r>
            <w:r>
              <w:rPr>
                <w:sz w:val="21"/>
                <w:szCs w:val="21"/>
              </w:rPr>
              <w:t>.</w:t>
            </w:r>
            <w:r>
              <w:rPr>
                <w:rFonts w:hint="eastAsia"/>
                <w:sz w:val="21"/>
                <w:szCs w:val="21"/>
              </w:rPr>
              <w:t>5</w:t>
            </w:r>
            <w:r>
              <w:rPr>
                <w:sz w:val="21"/>
                <w:szCs w:val="21"/>
              </w:rPr>
              <w:t>×</w:t>
            </w:r>
            <w:r>
              <w:rPr>
                <w:rFonts w:hint="eastAsia"/>
                <w:sz w:val="21"/>
                <w:szCs w:val="21"/>
              </w:rPr>
              <w:t>6</w:t>
            </w:r>
            <w:r>
              <w:rPr>
                <w:sz w:val="21"/>
                <w:szCs w:val="21"/>
              </w:rPr>
              <w:t>.5m，有效水深5.0m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restart"/>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混合后处理工艺</w:t>
            </w:r>
          </w:p>
        </w:tc>
        <w:tc>
          <w:tcPr>
            <w:tcW w:w="974" w:type="dxa"/>
            <w:vAlign w:val="center"/>
          </w:tcPr>
          <w:p>
            <w:pPr>
              <w:pStyle w:val="6"/>
              <w:adjustRightInd w:val="0"/>
              <w:snapToGrid w:val="0"/>
              <w:spacing w:before="0" w:after="0" w:line="240" w:lineRule="auto"/>
              <w:jc w:val="center"/>
              <w:rPr>
                <w:b w:val="0"/>
                <w:sz w:val="21"/>
                <w:szCs w:val="21"/>
              </w:rPr>
            </w:pPr>
            <w:r>
              <w:rPr>
                <w:b w:val="0"/>
                <w:sz w:val="21"/>
                <w:szCs w:val="21"/>
              </w:rPr>
              <w:t>综合</w:t>
            </w:r>
          </w:p>
          <w:p>
            <w:pPr>
              <w:pStyle w:val="6"/>
              <w:adjustRightInd w:val="0"/>
              <w:snapToGrid w:val="0"/>
              <w:spacing w:before="0" w:after="0" w:line="240" w:lineRule="auto"/>
              <w:jc w:val="center"/>
              <w:rPr>
                <w:rFonts w:ascii="Times New Roman" w:hAnsi="Times New Roman" w:eastAsia="宋体" w:cs="Times New Roman"/>
                <w:sz w:val="21"/>
                <w:szCs w:val="21"/>
              </w:rPr>
            </w:pPr>
            <w:r>
              <w:rPr>
                <w:b w:val="0"/>
                <w:sz w:val="21"/>
                <w:szCs w:val="21"/>
              </w:rPr>
              <w:t>水池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1座，调节气化废水、含硫废水及其他废水的水质水量，为综合废水提升泵提供良好的吸水条件，有效容积800m</w:t>
            </w:r>
            <w:r>
              <w:rPr>
                <w:sz w:val="21"/>
                <w:szCs w:val="21"/>
                <w:vertAlign w:val="superscript"/>
              </w:rPr>
              <w:t>3</w:t>
            </w:r>
            <w:r>
              <w:rPr>
                <w:sz w:val="21"/>
                <w:szCs w:val="21"/>
              </w:rPr>
              <w:t>，工艺尺寸：16.0×10.0×5.5m，有效水深5.0m</w:t>
            </w:r>
          </w:p>
        </w:tc>
        <w:tc>
          <w:tcPr>
            <w:tcW w:w="5114" w:type="dxa"/>
            <w:gridSpan w:val="4"/>
            <w:vAlign w:val="center"/>
          </w:tcPr>
          <w:p>
            <w:pPr>
              <w:jc w:val="center"/>
              <w:rPr>
                <w:rFonts w:ascii="Times New Roman" w:hAnsi="Times New Roman" w:eastAsia="宋体" w:cs="Times New Roman"/>
                <w:snapToGrid w:val="0"/>
                <w:kern w:val="0"/>
                <w:szCs w:val="21"/>
              </w:rPr>
            </w:pPr>
            <w:r>
              <w:rPr>
                <w:sz w:val="21"/>
                <w:szCs w:val="21"/>
              </w:rPr>
              <w:t>1座，调节气化废水、含硫废水及其他废水的水质水量，为综合废水提升泵提供良好的吸水条件，有效容积</w:t>
            </w:r>
            <w:r>
              <w:rPr>
                <w:rFonts w:hint="eastAsia"/>
                <w:sz w:val="21"/>
                <w:szCs w:val="21"/>
                <w:lang w:val="en-US" w:eastAsia="zh-CN"/>
              </w:rPr>
              <w:t>,1316</w:t>
            </w:r>
            <w:r>
              <w:rPr>
                <w:sz w:val="21"/>
                <w:szCs w:val="21"/>
              </w:rPr>
              <w:t>m</w:t>
            </w:r>
            <w:r>
              <w:rPr>
                <w:sz w:val="21"/>
                <w:szCs w:val="21"/>
                <w:vertAlign w:val="superscript"/>
              </w:rPr>
              <w:t>3</w:t>
            </w:r>
            <w:r>
              <w:rPr>
                <w:sz w:val="21"/>
                <w:szCs w:val="21"/>
              </w:rPr>
              <w:t>，工艺尺寸：</w:t>
            </w:r>
            <w:r>
              <w:rPr>
                <w:color w:val="auto"/>
              </w:rPr>
              <w:t>1</w:t>
            </w:r>
            <w:r>
              <w:rPr>
                <w:rFonts w:hint="eastAsia"/>
                <w:color w:val="auto"/>
              </w:rPr>
              <w:t>5</w:t>
            </w:r>
            <w:r>
              <w:rPr>
                <w:color w:val="auto"/>
              </w:rPr>
              <w:t>.0×1</w:t>
            </w:r>
            <w:r>
              <w:rPr>
                <w:rFonts w:hint="eastAsia"/>
                <w:color w:val="auto"/>
              </w:rPr>
              <w:t>5</w:t>
            </w:r>
            <w:r>
              <w:rPr>
                <w:color w:val="auto"/>
              </w:rPr>
              <w:t>.0×</w:t>
            </w:r>
            <w:r>
              <w:rPr>
                <w:rFonts w:hint="eastAsia"/>
                <w:color w:val="auto"/>
              </w:rPr>
              <w:t>6</w:t>
            </w:r>
            <w:r>
              <w:rPr>
                <w:color w:val="auto"/>
              </w:rPr>
              <w:t>.5</w:t>
            </w:r>
            <w:r>
              <w:rPr>
                <w:sz w:val="21"/>
                <w:szCs w:val="21"/>
              </w:rPr>
              <w:t>m，有效水深5.0m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adjustRightInd w:val="0"/>
              <w:snapToGrid w:val="0"/>
              <w:jc w:val="center"/>
              <w:rPr>
                <w:rFonts w:ascii="Times New Roman" w:hAnsi="Times New Roman" w:eastAsia="宋体" w:cs="Times New Roman"/>
                <w:sz w:val="21"/>
                <w:szCs w:val="21"/>
              </w:rPr>
            </w:pPr>
            <w:r>
              <w:rPr>
                <w:sz w:val="21"/>
                <w:szCs w:val="21"/>
              </w:rPr>
              <w:t>SBR池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6座，在微生物作用下，去除废水中氮及有机污染物；总容积23040m</w:t>
            </w:r>
            <w:r>
              <w:rPr>
                <w:sz w:val="21"/>
                <w:szCs w:val="21"/>
                <w:vertAlign w:val="superscript"/>
              </w:rPr>
              <w:t>3</w:t>
            </w:r>
            <w:r>
              <w:rPr>
                <w:sz w:val="21"/>
                <w:szCs w:val="21"/>
              </w:rPr>
              <w:t>，每座3840m</w:t>
            </w:r>
            <w:r>
              <w:rPr>
                <w:sz w:val="21"/>
                <w:szCs w:val="21"/>
                <w:vertAlign w:val="superscript"/>
              </w:rPr>
              <w:t>3</w:t>
            </w:r>
            <w:r>
              <w:rPr>
                <w:sz w:val="21"/>
                <w:szCs w:val="21"/>
              </w:rPr>
              <w:t>；工艺尺寸：总尺寸40.0×96.0×7.0m，有效水深6.0m，单座尺寸40.0×16.0×7.0m</w:t>
            </w:r>
          </w:p>
        </w:tc>
        <w:tc>
          <w:tcPr>
            <w:tcW w:w="5114" w:type="dxa"/>
            <w:gridSpan w:val="4"/>
            <w:vAlign w:val="center"/>
          </w:tcPr>
          <w:p>
            <w:pPr>
              <w:jc w:val="left"/>
              <w:rPr>
                <w:rFonts w:ascii="Times New Roman" w:hAnsi="Times New Roman" w:eastAsia="宋体" w:cs="Times New Roman"/>
                <w:szCs w:val="21"/>
              </w:rPr>
            </w:pPr>
            <w:r>
              <w:rPr>
                <w:rFonts w:hint="eastAsia"/>
                <w:sz w:val="21"/>
                <w:szCs w:val="21"/>
                <w:lang w:val="en-US" w:eastAsia="zh-CN"/>
              </w:rPr>
              <w:t>4</w:t>
            </w:r>
            <w:r>
              <w:rPr>
                <w:sz w:val="21"/>
                <w:szCs w:val="21"/>
              </w:rPr>
              <w:t>座，在微生物作用下，去除废水中氮及有机污染物；总容积2</w:t>
            </w:r>
            <w:r>
              <w:rPr>
                <w:rFonts w:hint="eastAsia"/>
                <w:sz w:val="21"/>
                <w:szCs w:val="21"/>
                <w:lang w:val="en-US" w:eastAsia="zh-CN"/>
              </w:rPr>
              <w:t>6400</w:t>
            </w:r>
            <w:r>
              <w:rPr>
                <w:sz w:val="21"/>
                <w:szCs w:val="21"/>
              </w:rPr>
              <w:t>m</w:t>
            </w:r>
            <w:r>
              <w:rPr>
                <w:sz w:val="21"/>
                <w:szCs w:val="21"/>
                <w:vertAlign w:val="superscript"/>
              </w:rPr>
              <w:t>3</w:t>
            </w:r>
            <w:r>
              <w:rPr>
                <w:sz w:val="21"/>
                <w:szCs w:val="21"/>
              </w:rPr>
              <w:t>，每座</w:t>
            </w:r>
            <w:r>
              <w:rPr>
                <w:rFonts w:hint="eastAsia"/>
                <w:sz w:val="21"/>
                <w:szCs w:val="21"/>
                <w:lang w:val="en-US" w:eastAsia="zh-CN"/>
              </w:rPr>
              <w:t>6600</w:t>
            </w:r>
            <w:r>
              <w:rPr>
                <w:sz w:val="21"/>
                <w:szCs w:val="21"/>
              </w:rPr>
              <w:t>m</w:t>
            </w:r>
            <w:r>
              <w:rPr>
                <w:sz w:val="21"/>
                <w:szCs w:val="21"/>
                <w:vertAlign w:val="superscript"/>
              </w:rPr>
              <w:t>3</w:t>
            </w:r>
            <w:r>
              <w:rPr>
                <w:sz w:val="21"/>
                <w:szCs w:val="21"/>
              </w:rPr>
              <w:t>；工艺尺寸：总尺寸</w:t>
            </w:r>
            <w:r>
              <w:rPr>
                <w:rFonts w:hint="eastAsia"/>
                <w:sz w:val="21"/>
                <w:szCs w:val="21"/>
                <w:lang w:val="en-US" w:eastAsia="zh-CN"/>
              </w:rPr>
              <w:t>10</w:t>
            </w:r>
            <w:r>
              <w:rPr>
                <w:sz w:val="21"/>
                <w:szCs w:val="21"/>
              </w:rPr>
              <w:t>0.0×</w:t>
            </w:r>
            <w:r>
              <w:rPr>
                <w:rFonts w:hint="eastAsia"/>
                <w:sz w:val="21"/>
                <w:szCs w:val="21"/>
                <w:lang w:val="en-US" w:eastAsia="zh-CN"/>
              </w:rPr>
              <w:t>96</w:t>
            </w:r>
            <w:r>
              <w:rPr>
                <w:sz w:val="21"/>
                <w:szCs w:val="21"/>
              </w:rPr>
              <w:t>.0×</w:t>
            </w:r>
            <w:r>
              <w:rPr>
                <w:rFonts w:hint="eastAsia"/>
                <w:sz w:val="21"/>
                <w:szCs w:val="21"/>
              </w:rPr>
              <w:t>5.5</w:t>
            </w:r>
            <w:r>
              <w:rPr>
                <w:sz w:val="21"/>
                <w:szCs w:val="21"/>
              </w:rPr>
              <w:t>m，有效水深</w:t>
            </w:r>
            <w:r>
              <w:rPr>
                <w:rFonts w:hint="eastAsia"/>
                <w:sz w:val="21"/>
                <w:szCs w:val="21"/>
                <w:lang w:val="en-US" w:eastAsia="zh-CN"/>
              </w:rPr>
              <w:t>5</w:t>
            </w:r>
            <w:r>
              <w:rPr>
                <w:sz w:val="21"/>
                <w:szCs w:val="21"/>
              </w:rPr>
              <w:t>.0m，单座尺寸</w:t>
            </w:r>
            <w:bookmarkStart w:id="30" w:name="RANGE!C9"/>
            <w:r>
              <w:rPr>
                <w:rFonts w:hint="eastAsia"/>
                <w:sz w:val="21"/>
                <w:szCs w:val="21"/>
              </w:rPr>
              <w:t>5</w:t>
            </w:r>
            <w:r>
              <w:rPr>
                <w:sz w:val="21"/>
                <w:szCs w:val="21"/>
              </w:rPr>
              <w:t>0.0×</w:t>
            </w:r>
            <w:r>
              <w:rPr>
                <w:rFonts w:hint="eastAsia"/>
                <w:sz w:val="21"/>
                <w:szCs w:val="21"/>
              </w:rPr>
              <w:t>24</w:t>
            </w:r>
            <w:r>
              <w:rPr>
                <w:sz w:val="21"/>
                <w:szCs w:val="21"/>
              </w:rPr>
              <w:t>.0×</w:t>
            </w:r>
            <w:bookmarkEnd w:id="30"/>
            <w:r>
              <w:rPr>
                <w:rFonts w:hint="eastAsia"/>
                <w:sz w:val="21"/>
                <w:szCs w:val="21"/>
              </w:rPr>
              <w:t>5.5</w:t>
            </w:r>
            <w:r>
              <w:rPr>
                <w:sz w:val="21"/>
                <w:szCs w:val="21"/>
              </w:rPr>
              <w:t>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池体数量及工艺尺寸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监测池</w:t>
            </w:r>
          </w:p>
        </w:tc>
        <w:tc>
          <w:tcPr>
            <w:tcW w:w="4349" w:type="dxa"/>
            <w:gridSpan w:val="2"/>
            <w:vAlign w:val="center"/>
          </w:tcPr>
          <w:p>
            <w:pPr>
              <w:adjustRightInd w:val="0"/>
              <w:snapToGrid w:val="0"/>
              <w:rPr>
                <w:sz w:val="21"/>
                <w:szCs w:val="21"/>
              </w:rPr>
            </w:pPr>
            <w:r>
              <w:rPr>
                <w:sz w:val="21"/>
                <w:szCs w:val="21"/>
              </w:rPr>
              <w:t>1座，SBR出水存放地点，为外排泵提供吸水点；有效容积：480m</w:t>
            </w:r>
            <w:r>
              <w:rPr>
                <w:sz w:val="21"/>
                <w:szCs w:val="21"/>
                <w:vertAlign w:val="superscript"/>
              </w:rPr>
              <w:t>3</w:t>
            </w:r>
            <w:r>
              <w:rPr>
                <w:sz w:val="21"/>
                <w:szCs w:val="21"/>
              </w:rPr>
              <w:t>，水力停留时间：2.2h；</w:t>
            </w:r>
          </w:p>
          <w:p>
            <w:pPr>
              <w:adjustRightInd w:val="0"/>
              <w:snapToGrid w:val="0"/>
              <w:rPr>
                <w:rFonts w:ascii="Times New Roman" w:hAnsi="Times New Roman" w:eastAsia="宋体" w:cs="Times New Roman"/>
                <w:snapToGrid w:val="0"/>
                <w:kern w:val="0"/>
                <w:sz w:val="21"/>
                <w:szCs w:val="21"/>
              </w:rPr>
            </w:pPr>
            <w:r>
              <w:rPr>
                <w:sz w:val="21"/>
                <w:szCs w:val="21"/>
              </w:rPr>
              <w:t>工艺尺寸：12.0×8.0×5.5m</w:t>
            </w:r>
          </w:p>
        </w:tc>
        <w:tc>
          <w:tcPr>
            <w:tcW w:w="5114" w:type="dxa"/>
            <w:gridSpan w:val="4"/>
            <w:vAlign w:val="center"/>
          </w:tcPr>
          <w:p>
            <w:pPr>
              <w:adjustRightInd w:val="0"/>
              <w:snapToGrid w:val="0"/>
              <w:rPr>
                <w:sz w:val="21"/>
                <w:szCs w:val="21"/>
              </w:rPr>
            </w:pPr>
            <w:r>
              <w:rPr>
                <w:sz w:val="21"/>
                <w:szCs w:val="21"/>
              </w:rPr>
              <w:t>1座，SBR出水存放地点，为外排泵提供吸水点；有效容积：</w:t>
            </w:r>
            <w:r>
              <w:rPr>
                <w:rFonts w:hint="eastAsia"/>
                <w:sz w:val="21"/>
                <w:szCs w:val="21"/>
                <w:lang w:val="en-US" w:eastAsia="zh-CN"/>
              </w:rPr>
              <w:t>45</w:t>
            </w:r>
            <w:r>
              <w:rPr>
                <w:sz w:val="21"/>
                <w:szCs w:val="21"/>
              </w:rPr>
              <w:t>m</w:t>
            </w:r>
            <w:r>
              <w:rPr>
                <w:sz w:val="21"/>
                <w:szCs w:val="21"/>
                <w:vertAlign w:val="superscript"/>
              </w:rPr>
              <w:t>3</w:t>
            </w:r>
            <w:r>
              <w:rPr>
                <w:sz w:val="21"/>
                <w:szCs w:val="21"/>
              </w:rPr>
              <w:t>，水力停留时间：2.2h；</w:t>
            </w:r>
          </w:p>
          <w:p>
            <w:pPr>
              <w:jc w:val="left"/>
              <w:rPr>
                <w:rFonts w:ascii="Times New Roman" w:hAnsi="Times New Roman" w:eastAsia="宋体" w:cs="Times New Roman"/>
                <w:snapToGrid w:val="0"/>
                <w:kern w:val="0"/>
                <w:szCs w:val="21"/>
              </w:rPr>
            </w:pPr>
            <w:r>
              <w:rPr>
                <w:sz w:val="21"/>
                <w:szCs w:val="21"/>
              </w:rPr>
              <w:t>工艺尺寸：</w:t>
            </w:r>
            <w:r>
              <w:rPr>
                <w:rFonts w:hint="eastAsia"/>
                <w:color w:val="auto"/>
              </w:rPr>
              <w:t>5</w:t>
            </w:r>
            <w:r>
              <w:rPr>
                <w:color w:val="auto"/>
              </w:rPr>
              <w:t>.0×</w:t>
            </w:r>
            <w:r>
              <w:rPr>
                <w:rFonts w:hint="eastAsia"/>
                <w:color w:val="auto"/>
              </w:rPr>
              <w:t>2</w:t>
            </w:r>
            <w:r>
              <w:rPr>
                <w:color w:val="auto"/>
              </w:rPr>
              <w:t>.0×</w:t>
            </w:r>
            <w:r>
              <w:t>5.5</w:t>
            </w:r>
            <w:r>
              <w:rPr>
                <w:sz w:val="21"/>
                <w:szCs w:val="21"/>
              </w:rPr>
              <w:t>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pStyle w:val="6"/>
              <w:adjustRightInd w:val="0"/>
              <w:snapToGrid w:val="0"/>
              <w:spacing w:before="0" w:after="0" w:line="240" w:lineRule="auto"/>
              <w:jc w:val="center"/>
              <w:rPr>
                <w:rFonts w:ascii="Times New Roman" w:hAnsi="Times New Roman" w:eastAsia="宋体" w:cs="Times New Roman"/>
                <w:sz w:val="21"/>
                <w:szCs w:val="21"/>
              </w:rPr>
            </w:pPr>
            <w:r>
              <w:rPr>
                <w:b w:val="0"/>
                <w:sz w:val="21"/>
                <w:szCs w:val="21"/>
              </w:rPr>
              <w:t>出水</w:t>
            </w:r>
          </w:p>
        </w:tc>
        <w:tc>
          <w:tcPr>
            <w:tcW w:w="4349" w:type="dxa"/>
            <w:gridSpan w:val="2"/>
            <w:vAlign w:val="center"/>
          </w:tcPr>
          <w:p>
            <w:pPr>
              <w:adjustRightInd w:val="0"/>
              <w:snapToGrid w:val="0"/>
              <w:rPr>
                <w:rFonts w:ascii="Times New Roman" w:hAnsi="Times New Roman" w:eastAsia="宋体" w:cs="Times New Roman"/>
                <w:snapToGrid w:val="0"/>
                <w:kern w:val="0"/>
                <w:sz w:val="21"/>
                <w:szCs w:val="21"/>
              </w:rPr>
            </w:pPr>
            <w:r>
              <w:rPr>
                <w:sz w:val="21"/>
                <w:szCs w:val="21"/>
              </w:rPr>
              <w:t>混入总口排放</w:t>
            </w:r>
          </w:p>
        </w:tc>
        <w:tc>
          <w:tcPr>
            <w:tcW w:w="5114" w:type="dxa"/>
            <w:gridSpan w:val="4"/>
            <w:vAlign w:val="center"/>
          </w:tcPr>
          <w:p>
            <w:pPr>
              <w:jc w:val="left"/>
              <w:rPr>
                <w:rFonts w:ascii="Times New Roman" w:hAnsi="Times New Roman" w:eastAsia="宋体" w:cs="Times New Roman"/>
                <w:snapToGrid w:val="0"/>
                <w:kern w:val="0"/>
                <w:szCs w:val="21"/>
              </w:rPr>
            </w:pPr>
            <w:r>
              <w:rPr>
                <w:sz w:val="21"/>
                <w:szCs w:val="21"/>
              </w:rPr>
              <w:t>混入总口排放</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restart"/>
            <w:vAlign w:val="center"/>
          </w:tcPr>
          <w:p>
            <w:pPr>
              <w:widowControl/>
              <w:adjustRightInd w:val="0"/>
              <w:snapToGrid w:val="0"/>
              <w:jc w:val="center"/>
              <w:rPr>
                <w:rFonts w:ascii="Times New Roman" w:hAnsi="Times New Roman" w:eastAsia="宋体" w:cs="Times New Roman"/>
                <w:sz w:val="21"/>
                <w:szCs w:val="21"/>
              </w:rPr>
            </w:pPr>
            <w:r>
              <w:rPr>
                <w:sz w:val="21"/>
                <w:szCs w:val="21"/>
              </w:rPr>
              <w:t>污泥处理系统</w:t>
            </w:r>
          </w:p>
        </w:tc>
        <w:tc>
          <w:tcPr>
            <w:tcW w:w="974" w:type="dxa"/>
            <w:vAlign w:val="center"/>
          </w:tcPr>
          <w:p>
            <w:pPr>
              <w:pStyle w:val="6"/>
              <w:adjustRightInd w:val="0"/>
              <w:snapToGrid w:val="0"/>
              <w:spacing w:before="0" w:after="0" w:line="240" w:lineRule="auto"/>
              <w:jc w:val="center"/>
              <w:rPr>
                <w:b w:val="0"/>
                <w:sz w:val="21"/>
                <w:szCs w:val="21"/>
              </w:rPr>
            </w:pPr>
            <w:r>
              <w:rPr>
                <w:b w:val="0"/>
                <w:sz w:val="21"/>
                <w:szCs w:val="21"/>
              </w:rPr>
              <w:t>污泥</w:t>
            </w:r>
          </w:p>
          <w:p>
            <w:pPr>
              <w:pStyle w:val="6"/>
              <w:adjustRightInd w:val="0"/>
              <w:snapToGrid w:val="0"/>
              <w:spacing w:before="0" w:after="0" w:line="240" w:lineRule="auto"/>
              <w:jc w:val="center"/>
              <w:rPr>
                <w:rFonts w:ascii="Times New Roman" w:hAnsi="Times New Roman" w:eastAsia="宋体" w:cs="Times New Roman"/>
                <w:sz w:val="21"/>
                <w:szCs w:val="21"/>
              </w:rPr>
            </w:pPr>
            <w:r>
              <w:rPr>
                <w:rFonts w:hint="eastAsia"/>
                <w:b w:val="0"/>
                <w:sz w:val="21"/>
                <w:szCs w:val="21"/>
                <w:lang w:eastAsia="zh-CN"/>
              </w:rPr>
              <w:t>储</w:t>
            </w:r>
            <w:r>
              <w:rPr>
                <w:b w:val="0"/>
                <w:sz w:val="21"/>
                <w:szCs w:val="21"/>
              </w:rPr>
              <w:t>池</w:t>
            </w:r>
          </w:p>
        </w:tc>
        <w:tc>
          <w:tcPr>
            <w:tcW w:w="4349" w:type="dxa"/>
            <w:gridSpan w:val="2"/>
            <w:vAlign w:val="center"/>
          </w:tcPr>
          <w:p>
            <w:pPr>
              <w:adjustRightInd w:val="0"/>
              <w:snapToGrid w:val="0"/>
              <w:rPr>
                <w:rFonts w:ascii="Times New Roman" w:hAnsi="Times New Roman" w:eastAsia="宋体" w:cs="Times New Roman"/>
                <w:snapToGrid w:val="0"/>
                <w:kern w:val="0"/>
                <w:sz w:val="21"/>
                <w:szCs w:val="21"/>
              </w:rPr>
            </w:pPr>
            <w:r>
              <w:rPr>
                <w:sz w:val="21"/>
                <w:szCs w:val="21"/>
              </w:rPr>
              <w:t>1座，储存、浓缩污泥； 有效容积：452m</w:t>
            </w:r>
            <w:r>
              <w:rPr>
                <w:sz w:val="21"/>
                <w:szCs w:val="21"/>
                <w:vertAlign w:val="superscript"/>
              </w:rPr>
              <w:t>3</w:t>
            </w:r>
            <w:r>
              <w:rPr>
                <w:sz w:val="21"/>
                <w:szCs w:val="21"/>
              </w:rPr>
              <w:t>，工艺尺寸：Φ12.0×5.2m</w:t>
            </w:r>
          </w:p>
        </w:tc>
        <w:tc>
          <w:tcPr>
            <w:tcW w:w="5114" w:type="dxa"/>
            <w:gridSpan w:val="4"/>
            <w:vAlign w:val="center"/>
          </w:tcPr>
          <w:p>
            <w:pPr>
              <w:jc w:val="left"/>
              <w:rPr>
                <w:rFonts w:ascii="Times New Roman" w:hAnsi="Times New Roman" w:eastAsia="宋体" w:cs="Times New Roman"/>
                <w:snapToGrid w:val="0"/>
                <w:kern w:val="0"/>
                <w:szCs w:val="21"/>
              </w:rPr>
            </w:pPr>
            <w:r>
              <w:rPr>
                <w:sz w:val="21"/>
                <w:szCs w:val="21"/>
              </w:rPr>
              <w:t>1座，储存、浓缩污泥； 有效容积：</w:t>
            </w:r>
            <w:r>
              <w:rPr>
                <w:rFonts w:hint="eastAsia"/>
                <w:sz w:val="21"/>
                <w:szCs w:val="21"/>
                <w:lang w:val="en-US" w:eastAsia="zh-CN"/>
              </w:rPr>
              <w:t>200</w:t>
            </w:r>
            <w:r>
              <w:rPr>
                <w:sz w:val="21"/>
                <w:szCs w:val="21"/>
              </w:rPr>
              <w:t>m</w:t>
            </w:r>
            <w:r>
              <w:rPr>
                <w:sz w:val="21"/>
                <w:szCs w:val="21"/>
                <w:vertAlign w:val="superscript"/>
              </w:rPr>
              <w:t>3</w:t>
            </w:r>
            <w:r>
              <w:rPr>
                <w:sz w:val="21"/>
                <w:szCs w:val="21"/>
              </w:rPr>
              <w:t>，工艺尺寸</w:t>
            </w:r>
            <w:r>
              <w:rPr>
                <w:rFonts w:hint="eastAsia"/>
                <w:sz w:val="21"/>
                <w:szCs w:val="21"/>
              </w:rPr>
              <w:t>8.0</w:t>
            </w:r>
            <w:r>
              <w:rPr>
                <w:sz w:val="21"/>
                <w:szCs w:val="21"/>
              </w:rPr>
              <w:t>×</w:t>
            </w:r>
            <w:r>
              <w:rPr>
                <w:rFonts w:hint="eastAsia"/>
                <w:sz w:val="21"/>
                <w:szCs w:val="21"/>
              </w:rPr>
              <w:t>5</w:t>
            </w:r>
            <w:r>
              <w:rPr>
                <w:sz w:val="21"/>
                <w:szCs w:val="21"/>
              </w:rPr>
              <w:t>×5.</w:t>
            </w:r>
            <w:r>
              <w:rPr>
                <w:rFonts w:hint="eastAsia"/>
                <w:sz w:val="21"/>
                <w:szCs w:val="21"/>
              </w:rPr>
              <w:t>5</w:t>
            </w:r>
            <w:r>
              <w:rPr>
                <w:sz w:val="21"/>
                <w:szCs w:val="21"/>
              </w:rPr>
              <w:t>m</w:t>
            </w:r>
          </w:p>
        </w:tc>
        <w:tc>
          <w:tcPr>
            <w:tcW w:w="1313"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eastAsia="zh-CN"/>
              </w:rPr>
              <w:t>工艺尺寸</w:t>
            </w:r>
            <w:r>
              <w:rPr>
                <w:rFonts w:ascii="Times New Roman" w:hAnsi="Times New Roman" w:eastAsia="宋体" w:cs="Times New Roman"/>
                <w:szCs w:val="21"/>
              </w:rPr>
              <w:t>变更，</w:t>
            </w:r>
            <w:r>
              <w:rPr>
                <w:rFonts w:hint="eastAsia" w:ascii="Times New Roman" w:hAnsi="Times New Roman" w:eastAsia="宋体" w:cs="Times New Roman"/>
                <w:szCs w:val="21"/>
                <w:lang w:eastAsia="zh-CN"/>
              </w:rPr>
              <w:t>其余</w:t>
            </w: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污泥脱水机房</w:t>
            </w:r>
          </w:p>
        </w:tc>
        <w:tc>
          <w:tcPr>
            <w:tcW w:w="4349" w:type="dxa"/>
            <w:gridSpan w:val="2"/>
            <w:vAlign w:val="center"/>
          </w:tcPr>
          <w:p>
            <w:pPr>
              <w:adjustRightInd w:val="0"/>
              <w:snapToGrid w:val="0"/>
              <w:rPr>
                <w:rFonts w:ascii="Times New Roman" w:hAnsi="Times New Roman" w:eastAsia="宋体" w:cs="Times New Roman"/>
                <w:snapToGrid w:val="0"/>
                <w:kern w:val="0"/>
                <w:sz w:val="21"/>
                <w:szCs w:val="21"/>
              </w:rPr>
            </w:pPr>
            <w:r>
              <w:rPr>
                <w:sz w:val="21"/>
                <w:szCs w:val="21"/>
              </w:rPr>
              <w:t>1座，功能：沉淀池、SBR池等产生的化学污泥和剩余污泥，经收集、浓缩后进行机械脱水处理。设计尺寸：12.0×9.0×10.0m</w:t>
            </w:r>
          </w:p>
        </w:tc>
        <w:tc>
          <w:tcPr>
            <w:tcW w:w="5114" w:type="dxa"/>
            <w:gridSpan w:val="4"/>
            <w:vAlign w:val="center"/>
          </w:tcPr>
          <w:p>
            <w:pPr>
              <w:jc w:val="left"/>
              <w:rPr>
                <w:rFonts w:ascii="Times New Roman" w:hAnsi="Times New Roman" w:eastAsia="宋体" w:cs="Times New Roman"/>
                <w:snapToGrid w:val="0"/>
                <w:kern w:val="0"/>
                <w:szCs w:val="21"/>
              </w:rPr>
            </w:pPr>
            <w:r>
              <w:rPr>
                <w:sz w:val="21"/>
                <w:szCs w:val="21"/>
              </w:rPr>
              <w:t>1座，功能：沉淀池、SBR池等产生的化学污泥和剩余污泥，经收集、浓缩后进行机械脱水处理。设计尺寸：12.0×9.0×10.0m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restart"/>
            <w:vAlign w:val="center"/>
          </w:tcPr>
          <w:p>
            <w:pPr>
              <w:jc w:val="center"/>
              <w:rPr>
                <w:rFonts w:ascii="Times New Roman" w:hAnsi="Times New Roman" w:eastAsia="宋体" w:cs="Times New Roman"/>
                <w:b w:val="0"/>
                <w:bCs/>
                <w:szCs w:val="21"/>
              </w:rPr>
            </w:pPr>
            <w:r>
              <w:rPr>
                <w:rFonts w:ascii="Times New Roman" w:hAnsi="Times New Roman" w:eastAsia="宋体" w:cs="Times New Roman"/>
                <w:b w:val="0"/>
                <w:bCs/>
                <w:szCs w:val="21"/>
              </w:rPr>
              <w:t>主体</w:t>
            </w:r>
          </w:p>
          <w:p>
            <w:pPr>
              <w:jc w:val="center"/>
              <w:rPr>
                <w:rFonts w:ascii="Times New Roman" w:hAnsi="Times New Roman" w:eastAsia="宋体" w:cs="Times New Roman"/>
                <w:b/>
                <w:szCs w:val="21"/>
              </w:rPr>
            </w:pPr>
            <w:r>
              <w:rPr>
                <w:rFonts w:ascii="Times New Roman" w:hAnsi="Times New Roman" w:eastAsia="宋体" w:cs="Times New Roman"/>
                <w:b w:val="0"/>
                <w:bCs/>
                <w:szCs w:val="21"/>
              </w:rPr>
              <w:t>工程（中水回用站）</w:t>
            </w:r>
          </w:p>
        </w:tc>
        <w:tc>
          <w:tcPr>
            <w:tcW w:w="1269" w:type="dxa"/>
            <w:vMerge w:val="restart"/>
            <w:vAlign w:val="center"/>
          </w:tcPr>
          <w:p>
            <w:pPr>
              <w:widowControl/>
              <w:adjustRightInd w:val="0"/>
              <w:snapToGrid w:val="0"/>
              <w:jc w:val="center"/>
              <w:rPr>
                <w:rFonts w:ascii="Times New Roman" w:hAnsi="Times New Roman" w:eastAsia="宋体" w:cs="Times New Roman"/>
                <w:sz w:val="21"/>
                <w:szCs w:val="21"/>
              </w:rPr>
            </w:pPr>
            <w:r>
              <w:rPr>
                <w:sz w:val="21"/>
                <w:szCs w:val="21"/>
              </w:rPr>
              <w:t>软化预处理阶段</w:t>
            </w:r>
          </w:p>
        </w:tc>
        <w:tc>
          <w:tcPr>
            <w:tcW w:w="974" w:type="dxa"/>
            <w:vAlign w:val="center"/>
          </w:tcPr>
          <w:p>
            <w:pPr>
              <w:pStyle w:val="6"/>
              <w:adjustRightInd w:val="0"/>
              <w:snapToGrid w:val="0"/>
              <w:spacing w:before="0" w:after="0" w:line="240" w:lineRule="auto"/>
              <w:rPr>
                <w:rFonts w:ascii="Times New Roman" w:hAnsi="Times New Roman" w:eastAsia="宋体" w:cs="Times New Roman"/>
                <w:snapToGrid w:val="0"/>
                <w:kern w:val="0"/>
                <w:sz w:val="21"/>
                <w:szCs w:val="21"/>
              </w:rPr>
            </w:pPr>
            <w:r>
              <w:rPr>
                <w:b w:val="0"/>
                <w:sz w:val="21"/>
                <w:szCs w:val="21"/>
              </w:rPr>
              <w:t>调节池</w:t>
            </w:r>
          </w:p>
        </w:tc>
        <w:tc>
          <w:tcPr>
            <w:tcW w:w="4349" w:type="dxa"/>
            <w:gridSpan w:val="2"/>
            <w:vAlign w:val="center"/>
          </w:tcPr>
          <w:p>
            <w:pPr>
              <w:adjustRightInd w:val="0"/>
              <w:snapToGrid w:val="0"/>
              <w:rPr>
                <w:rFonts w:ascii="Times New Roman" w:hAnsi="Times New Roman" w:eastAsia="宋体" w:cs="Times New Roman"/>
                <w:sz w:val="21"/>
                <w:szCs w:val="21"/>
              </w:rPr>
            </w:pPr>
            <w:r>
              <w:rPr>
                <w:rFonts w:hint="eastAsia"/>
                <w:sz w:val="21"/>
                <w:szCs w:val="21"/>
                <w:lang w:val="en-US" w:eastAsia="zh-CN"/>
              </w:rPr>
              <w:t>1</w:t>
            </w:r>
            <w:r>
              <w:rPr>
                <w:sz w:val="21"/>
                <w:szCs w:val="21"/>
              </w:rPr>
              <w:t>座，储存和调节上游事故状态的排水及处理不合格的污水，有效容积：800m</w:t>
            </w:r>
            <w:r>
              <w:rPr>
                <w:sz w:val="21"/>
                <w:szCs w:val="21"/>
                <w:vertAlign w:val="superscript"/>
              </w:rPr>
              <w:t>3</w:t>
            </w:r>
            <w:r>
              <w:rPr>
                <w:sz w:val="21"/>
                <w:szCs w:val="21"/>
              </w:rPr>
              <w:t>，工艺尺寸：16.0×10.0×5.5m，有效水深5.0m</w:t>
            </w:r>
          </w:p>
        </w:tc>
        <w:tc>
          <w:tcPr>
            <w:tcW w:w="5114" w:type="dxa"/>
            <w:gridSpan w:val="4"/>
            <w:vAlign w:val="center"/>
          </w:tcPr>
          <w:p>
            <w:pPr>
              <w:adjustRightInd w:val="0"/>
              <w:snapToGrid w:val="0"/>
              <w:rPr>
                <w:rFonts w:ascii="Times New Roman" w:hAnsi="Times New Roman" w:eastAsia="宋体" w:cs="Times New Roman"/>
                <w:snapToGrid w:val="0"/>
                <w:kern w:val="0"/>
                <w:szCs w:val="21"/>
              </w:rPr>
            </w:pPr>
            <w:r>
              <w:rPr>
                <w:rFonts w:hint="eastAsia"/>
                <w:sz w:val="21"/>
                <w:szCs w:val="21"/>
                <w:lang w:val="en-US" w:eastAsia="zh-CN"/>
              </w:rPr>
              <w:t>1</w:t>
            </w:r>
            <w:r>
              <w:rPr>
                <w:sz w:val="21"/>
                <w:szCs w:val="21"/>
              </w:rPr>
              <w:t>座，储存和调节上游事故状态的排水及处理不合格的污水，有效容积：800m</w:t>
            </w:r>
            <w:r>
              <w:rPr>
                <w:sz w:val="21"/>
                <w:szCs w:val="21"/>
                <w:vertAlign w:val="superscript"/>
              </w:rPr>
              <w:t>3</w:t>
            </w:r>
            <w:r>
              <w:rPr>
                <w:sz w:val="21"/>
                <w:szCs w:val="21"/>
              </w:rPr>
              <w:t>，工艺尺寸：16.0×10.0×5.5m，有效水深5.0m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机械加速澄清池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4座，软化去除硬度及悬浮物，处理量：1</w:t>
            </w:r>
            <w:r>
              <w:rPr>
                <w:rFonts w:hint="eastAsia"/>
                <w:sz w:val="21"/>
                <w:szCs w:val="21"/>
              </w:rPr>
              <w:t>5</w:t>
            </w:r>
            <w:r>
              <w:rPr>
                <w:sz w:val="21"/>
                <w:szCs w:val="21"/>
              </w:rPr>
              <w:t>0m</w:t>
            </w:r>
            <w:r>
              <w:rPr>
                <w:sz w:val="21"/>
                <w:szCs w:val="21"/>
                <w:vertAlign w:val="superscript"/>
              </w:rPr>
              <w:t>3</w:t>
            </w:r>
            <w:r>
              <w:rPr>
                <w:sz w:val="21"/>
                <w:szCs w:val="21"/>
              </w:rPr>
              <w:t>/h，工艺尺寸：10.0×6.0×5.5m，有效水深5.0m</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4座，软化去除硬度及悬浮物，处理量：1</w:t>
            </w:r>
            <w:r>
              <w:rPr>
                <w:rFonts w:hint="eastAsia"/>
                <w:sz w:val="21"/>
                <w:szCs w:val="21"/>
              </w:rPr>
              <w:t>5</w:t>
            </w:r>
            <w:r>
              <w:rPr>
                <w:sz w:val="21"/>
                <w:szCs w:val="21"/>
              </w:rPr>
              <w:t>0m</w:t>
            </w:r>
            <w:r>
              <w:rPr>
                <w:sz w:val="21"/>
                <w:szCs w:val="21"/>
                <w:vertAlign w:val="superscript"/>
              </w:rPr>
              <w:t>3</w:t>
            </w:r>
            <w:r>
              <w:rPr>
                <w:sz w:val="21"/>
                <w:szCs w:val="21"/>
              </w:rPr>
              <w:t>/h，工艺尺寸：10.0×6.0×5.5m，有效水深5.0m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 w:val="21"/>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无阀滤池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2座，处理量：210m</w:t>
            </w:r>
            <w:r>
              <w:rPr>
                <w:sz w:val="21"/>
                <w:szCs w:val="21"/>
                <w:vertAlign w:val="superscript"/>
              </w:rPr>
              <w:t>3</w:t>
            </w:r>
            <w:r>
              <w:rPr>
                <w:sz w:val="21"/>
                <w:szCs w:val="21"/>
              </w:rPr>
              <w:t>/h，单座尺寸：5.0×5.0×5.5m，有效水深5m</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2座，处理量：210m</w:t>
            </w:r>
            <w:r>
              <w:rPr>
                <w:sz w:val="21"/>
                <w:szCs w:val="21"/>
                <w:vertAlign w:val="superscript"/>
              </w:rPr>
              <w:t>3</w:t>
            </w:r>
            <w:r>
              <w:rPr>
                <w:sz w:val="21"/>
                <w:szCs w:val="21"/>
              </w:rPr>
              <w:t>/h，单座尺寸：5.0×5.0×5.5m，有效水深5m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restart"/>
            <w:vAlign w:val="center"/>
          </w:tcPr>
          <w:p>
            <w:pPr>
              <w:widowControl/>
              <w:adjustRightInd w:val="0"/>
              <w:snapToGrid w:val="0"/>
              <w:jc w:val="center"/>
              <w:rPr>
                <w:rFonts w:ascii="Times New Roman" w:hAnsi="Times New Roman" w:eastAsia="宋体" w:cs="Times New Roman"/>
                <w:sz w:val="21"/>
                <w:szCs w:val="21"/>
              </w:rPr>
            </w:pPr>
            <w:r>
              <w:rPr>
                <w:sz w:val="21"/>
                <w:szCs w:val="21"/>
              </w:rPr>
              <w:t>深度回用处理阶段</w:t>
            </w: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中间水池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1座，产水调节，单座有效容积：360m</w:t>
            </w:r>
            <w:r>
              <w:rPr>
                <w:sz w:val="21"/>
                <w:szCs w:val="21"/>
                <w:vertAlign w:val="superscript"/>
              </w:rPr>
              <w:t>3</w:t>
            </w:r>
            <w:r>
              <w:rPr>
                <w:sz w:val="21"/>
                <w:szCs w:val="21"/>
              </w:rPr>
              <w:t>；单座工艺尺寸：12.0×6.0×5.5m；有效水深5m</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1座，产水调节，单座有效容积：360m</w:t>
            </w:r>
            <w:r>
              <w:rPr>
                <w:sz w:val="21"/>
                <w:szCs w:val="21"/>
                <w:vertAlign w:val="superscript"/>
              </w:rPr>
              <w:t>3</w:t>
            </w:r>
            <w:r>
              <w:rPr>
                <w:sz w:val="21"/>
                <w:szCs w:val="21"/>
              </w:rPr>
              <w:t>；单座工艺尺寸：12.0×6.0×5.5m；有效水深5m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自清洗过滤</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2台，去除悬浮物，处理量：120m</w:t>
            </w:r>
            <w:r>
              <w:rPr>
                <w:sz w:val="21"/>
                <w:szCs w:val="21"/>
                <w:vertAlign w:val="superscript"/>
              </w:rPr>
              <w:t>3</w:t>
            </w:r>
            <w:r>
              <w:rPr>
                <w:sz w:val="21"/>
                <w:szCs w:val="21"/>
              </w:rPr>
              <w:t>/台。</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2台，去除悬浮物，处理量：120m</w:t>
            </w:r>
            <w:r>
              <w:rPr>
                <w:sz w:val="21"/>
                <w:szCs w:val="21"/>
                <w:vertAlign w:val="superscript"/>
              </w:rPr>
              <w:t>3</w:t>
            </w:r>
            <w:r>
              <w:rPr>
                <w:sz w:val="21"/>
                <w:szCs w:val="21"/>
              </w:rPr>
              <w:t>/台。</w:t>
            </w:r>
          </w:p>
        </w:tc>
        <w:tc>
          <w:tcPr>
            <w:tcW w:w="1313" w:type="dxa"/>
            <w:vAlign w:val="top"/>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UF装置</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2套，去除微小悬浮物、胶体，处理量：112m</w:t>
            </w:r>
            <w:r>
              <w:rPr>
                <w:sz w:val="21"/>
                <w:szCs w:val="21"/>
                <w:vertAlign w:val="superscript"/>
              </w:rPr>
              <w:t>3</w:t>
            </w:r>
            <w:r>
              <w:rPr>
                <w:sz w:val="21"/>
                <w:szCs w:val="21"/>
              </w:rPr>
              <w:t>/台</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2套，去除微小悬浮物、胶体，处理量：112m</w:t>
            </w:r>
            <w:r>
              <w:rPr>
                <w:sz w:val="21"/>
                <w:szCs w:val="21"/>
                <w:vertAlign w:val="superscript"/>
              </w:rPr>
              <w:t>3</w:t>
            </w:r>
            <w:r>
              <w:rPr>
                <w:sz w:val="21"/>
                <w:szCs w:val="21"/>
              </w:rPr>
              <w:t>/台</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UF出水池</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1座，产水调节，单座有效容积：300m</w:t>
            </w:r>
            <w:r>
              <w:rPr>
                <w:sz w:val="21"/>
                <w:szCs w:val="21"/>
                <w:vertAlign w:val="superscript"/>
              </w:rPr>
              <w:t>3</w:t>
            </w:r>
            <w:r>
              <w:rPr>
                <w:sz w:val="21"/>
                <w:szCs w:val="21"/>
              </w:rPr>
              <w:t>，单座工艺尺寸：10.0×6.0×5.5m，有效水深5m</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1座，产水调节，单座有效容积：300m</w:t>
            </w:r>
            <w:r>
              <w:rPr>
                <w:sz w:val="21"/>
                <w:szCs w:val="21"/>
                <w:vertAlign w:val="superscript"/>
              </w:rPr>
              <w:t>3</w:t>
            </w:r>
            <w:r>
              <w:rPr>
                <w:sz w:val="21"/>
                <w:szCs w:val="21"/>
              </w:rPr>
              <w:t>，单座工艺尺寸：10.0×6.0×5.5m，有效水深5m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RO装置</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2套，脱盐，处理量：70m</w:t>
            </w:r>
            <w:r>
              <w:rPr>
                <w:sz w:val="21"/>
                <w:szCs w:val="21"/>
                <w:vertAlign w:val="superscript"/>
              </w:rPr>
              <w:t>3</w:t>
            </w:r>
            <w:r>
              <w:rPr>
                <w:sz w:val="21"/>
                <w:szCs w:val="21"/>
              </w:rPr>
              <w:t>/台</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2套，脱盐，处理量：70m</w:t>
            </w:r>
            <w:r>
              <w:rPr>
                <w:sz w:val="21"/>
                <w:szCs w:val="21"/>
                <w:vertAlign w:val="superscript"/>
              </w:rPr>
              <w:t>3</w:t>
            </w:r>
            <w:r>
              <w:rPr>
                <w:sz w:val="21"/>
                <w:szCs w:val="21"/>
              </w:rPr>
              <w:t>/台</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b w:val="0"/>
                <w:sz w:val="21"/>
                <w:szCs w:val="21"/>
              </w:rPr>
            </w:pPr>
            <w:r>
              <w:rPr>
                <w:b w:val="0"/>
                <w:sz w:val="21"/>
                <w:szCs w:val="21"/>
              </w:rPr>
              <w:t>RO出水池</w:t>
            </w:r>
          </w:p>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加药装置</w:t>
            </w:r>
          </w:p>
        </w:tc>
        <w:tc>
          <w:tcPr>
            <w:tcW w:w="4349" w:type="dxa"/>
            <w:gridSpan w:val="2"/>
            <w:vAlign w:val="center"/>
          </w:tcPr>
          <w:p>
            <w:pPr>
              <w:adjustRightInd w:val="0"/>
              <w:snapToGrid w:val="0"/>
              <w:rPr>
                <w:sz w:val="21"/>
                <w:szCs w:val="21"/>
              </w:rPr>
            </w:pPr>
            <w:r>
              <w:rPr>
                <w:sz w:val="21"/>
                <w:szCs w:val="21"/>
              </w:rPr>
              <w:t>1座，产水调节，有效容积：300m</w:t>
            </w:r>
            <w:r>
              <w:rPr>
                <w:sz w:val="21"/>
                <w:szCs w:val="21"/>
                <w:vertAlign w:val="superscript"/>
              </w:rPr>
              <w:t>3</w:t>
            </w:r>
            <w:r>
              <w:rPr>
                <w:sz w:val="21"/>
                <w:szCs w:val="21"/>
              </w:rPr>
              <w:t>；工艺尺寸：10.0×6.0×5.5m，有效水深5m</w:t>
            </w:r>
          </w:p>
          <w:p>
            <w:pPr>
              <w:adjustRightInd w:val="0"/>
              <w:snapToGrid w:val="0"/>
              <w:rPr>
                <w:rFonts w:ascii="Times New Roman" w:hAnsi="Times New Roman" w:eastAsia="宋体" w:cs="Times New Roman"/>
                <w:sz w:val="21"/>
                <w:szCs w:val="21"/>
              </w:rPr>
            </w:pPr>
            <w:r>
              <w:rPr>
                <w:sz w:val="21"/>
                <w:szCs w:val="21"/>
              </w:rPr>
              <w:t>设置：PAC加药装置、碱加药装置、碳酸钠加药装置、酸加药装置、次氯酸钠加药装置、阻垢剂加药装置、碳酸钠加药装置、非氧化性杀菌剂。</w:t>
            </w:r>
          </w:p>
        </w:tc>
        <w:tc>
          <w:tcPr>
            <w:tcW w:w="5114" w:type="dxa"/>
            <w:gridSpan w:val="4"/>
            <w:vAlign w:val="center"/>
          </w:tcPr>
          <w:p>
            <w:pPr>
              <w:adjustRightInd w:val="0"/>
              <w:snapToGrid w:val="0"/>
              <w:rPr>
                <w:sz w:val="21"/>
                <w:szCs w:val="21"/>
              </w:rPr>
            </w:pPr>
            <w:r>
              <w:rPr>
                <w:sz w:val="21"/>
                <w:szCs w:val="21"/>
              </w:rPr>
              <w:t>1座，产水调节，有效容积：300m</w:t>
            </w:r>
            <w:r>
              <w:rPr>
                <w:sz w:val="21"/>
                <w:szCs w:val="21"/>
                <w:vertAlign w:val="superscript"/>
              </w:rPr>
              <w:t>3</w:t>
            </w:r>
            <w:r>
              <w:rPr>
                <w:sz w:val="21"/>
                <w:szCs w:val="21"/>
              </w:rPr>
              <w:t>；工艺尺寸：10.0×6.0×5.5m，有效水深5m</w:t>
            </w:r>
          </w:p>
          <w:p>
            <w:pPr>
              <w:adjustRightInd w:val="0"/>
              <w:snapToGrid w:val="0"/>
              <w:rPr>
                <w:rFonts w:ascii="Times New Roman" w:hAnsi="Times New Roman" w:eastAsia="宋体" w:cs="Times New Roman"/>
                <w:szCs w:val="21"/>
              </w:rPr>
            </w:pPr>
            <w:r>
              <w:rPr>
                <w:sz w:val="21"/>
                <w:szCs w:val="21"/>
              </w:rPr>
              <w:t>设置：PAC加药装置、碱加药装置、碳酸钠加药装置、酸加药装置、次氯酸钠加药装置、阻垢剂加药装置、碳酸钠加药装置、非氧化性杀菌剂。</w:t>
            </w:r>
          </w:p>
        </w:tc>
        <w:tc>
          <w:tcPr>
            <w:tcW w:w="1313" w:type="dxa"/>
            <w:vAlign w:val="top"/>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综合厂房</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设置1座膜车间。工艺尺寸：42.0×22.0m</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设置1座膜车间。工艺尺寸：42.0×22.0m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Merge w:val="continue"/>
            <w:vAlign w:val="center"/>
          </w:tcPr>
          <w:p>
            <w:pPr>
              <w:jc w:val="center"/>
              <w:rPr>
                <w:rFonts w:ascii="Times New Roman" w:hAnsi="Times New Roman" w:eastAsia="宋体" w:cs="Times New Roman"/>
                <w:szCs w:val="21"/>
              </w:rPr>
            </w:pPr>
          </w:p>
        </w:tc>
        <w:tc>
          <w:tcPr>
            <w:tcW w:w="974" w:type="dxa"/>
            <w:vAlign w:val="center"/>
          </w:tcPr>
          <w:p>
            <w:pPr>
              <w:pStyle w:val="6"/>
              <w:adjustRightInd w:val="0"/>
              <w:snapToGrid w:val="0"/>
              <w:spacing w:before="0" w:after="0" w:line="240" w:lineRule="auto"/>
              <w:rPr>
                <w:rFonts w:ascii="Times New Roman" w:hAnsi="Times New Roman" w:eastAsia="宋体" w:cs="Times New Roman"/>
                <w:sz w:val="21"/>
                <w:szCs w:val="21"/>
              </w:rPr>
            </w:pPr>
            <w:r>
              <w:rPr>
                <w:b w:val="0"/>
                <w:sz w:val="21"/>
                <w:szCs w:val="21"/>
              </w:rPr>
              <w:t>出水</w:t>
            </w:r>
          </w:p>
        </w:tc>
        <w:tc>
          <w:tcPr>
            <w:tcW w:w="4349" w:type="dxa"/>
            <w:gridSpan w:val="2"/>
            <w:vAlign w:val="center"/>
          </w:tcPr>
          <w:p>
            <w:pPr>
              <w:adjustRightInd w:val="0"/>
              <w:snapToGrid w:val="0"/>
              <w:rPr>
                <w:rFonts w:ascii="Times New Roman" w:hAnsi="Times New Roman" w:eastAsia="宋体" w:cs="Times New Roman"/>
                <w:sz w:val="21"/>
                <w:szCs w:val="21"/>
              </w:rPr>
            </w:pPr>
            <w:r>
              <w:rPr>
                <w:sz w:val="21"/>
                <w:szCs w:val="21"/>
              </w:rPr>
              <w:t>达标后回用</w:t>
            </w:r>
          </w:p>
        </w:tc>
        <w:tc>
          <w:tcPr>
            <w:tcW w:w="5114" w:type="dxa"/>
            <w:gridSpan w:val="4"/>
            <w:vAlign w:val="center"/>
          </w:tcPr>
          <w:p>
            <w:pPr>
              <w:adjustRightInd w:val="0"/>
              <w:snapToGrid w:val="0"/>
              <w:rPr>
                <w:rFonts w:ascii="Times New Roman" w:hAnsi="Times New Roman" w:eastAsia="宋体" w:cs="Times New Roman"/>
                <w:szCs w:val="21"/>
              </w:rPr>
            </w:pPr>
            <w:r>
              <w:rPr>
                <w:sz w:val="21"/>
                <w:szCs w:val="21"/>
              </w:rPr>
              <w:t>达标后回用</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5" w:type="dxa"/>
            <w:vAlign w:val="center"/>
          </w:tcPr>
          <w:p>
            <w:pPr>
              <w:widowControl/>
              <w:adjustRightInd w:val="0"/>
              <w:snapToGrid w:val="0"/>
              <w:jc w:val="center"/>
              <w:rPr>
                <w:rFonts w:ascii="Times New Roman" w:hAnsi="Times New Roman" w:eastAsia="宋体" w:cs="Times New Roman"/>
                <w:b/>
                <w:sz w:val="21"/>
                <w:szCs w:val="21"/>
              </w:rPr>
            </w:pPr>
            <w:r>
              <w:rPr>
                <w:rFonts w:hint="eastAsia"/>
                <w:sz w:val="21"/>
                <w:szCs w:val="21"/>
              </w:rPr>
              <w:t>主体工程（管道工程）</w:t>
            </w:r>
          </w:p>
        </w:tc>
        <w:tc>
          <w:tcPr>
            <w:tcW w:w="2243" w:type="dxa"/>
            <w:gridSpan w:val="2"/>
            <w:vAlign w:val="center"/>
          </w:tcPr>
          <w:p>
            <w:pPr>
              <w:pStyle w:val="6"/>
              <w:adjustRightInd w:val="0"/>
              <w:snapToGrid w:val="0"/>
              <w:spacing w:before="0" w:after="0" w:line="240" w:lineRule="auto"/>
              <w:jc w:val="center"/>
              <w:rPr>
                <w:b w:val="0"/>
                <w:sz w:val="21"/>
                <w:szCs w:val="21"/>
              </w:rPr>
            </w:pPr>
            <w:r>
              <w:rPr>
                <w:rFonts w:hint="eastAsia"/>
                <w:b w:val="0"/>
                <w:sz w:val="21"/>
                <w:szCs w:val="21"/>
              </w:rPr>
              <w:t>管道工程</w:t>
            </w:r>
          </w:p>
        </w:tc>
        <w:tc>
          <w:tcPr>
            <w:tcW w:w="4349" w:type="dxa"/>
            <w:gridSpan w:val="2"/>
            <w:vAlign w:val="center"/>
          </w:tcPr>
          <w:p>
            <w:pPr>
              <w:adjustRightInd w:val="0"/>
              <w:snapToGrid w:val="0"/>
              <w:rPr>
                <w:sz w:val="21"/>
                <w:szCs w:val="21"/>
              </w:rPr>
            </w:pPr>
            <w:r>
              <w:rPr>
                <w:rFonts w:hint="eastAsia"/>
                <w:sz w:val="21"/>
                <w:szCs w:val="21"/>
              </w:rPr>
              <w:t>本项目在厂区内设置部分管道，由于项目厂区地下十分复杂，因此将考虑将污水管道地面设置，设置为管廊</w:t>
            </w:r>
          </w:p>
        </w:tc>
        <w:tc>
          <w:tcPr>
            <w:tcW w:w="5114" w:type="dxa"/>
            <w:gridSpan w:val="4"/>
            <w:vAlign w:val="center"/>
          </w:tcPr>
          <w:p>
            <w:pPr>
              <w:adjustRightInd w:val="0"/>
              <w:snapToGrid w:val="0"/>
              <w:rPr>
                <w:rFonts w:ascii="Times New Roman" w:hAnsi="Times New Roman" w:eastAsia="宋体" w:cs="Times New Roman"/>
                <w:szCs w:val="21"/>
              </w:rPr>
            </w:pPr>
            <w:r>
              <w:rPr>
                <w:rFonts w:hint="eastAsia"/>
                <w:sz w:val="21"/>
                <w:szCs w:val="21"/>
              </w:rPr>
              <w:t>本项目在厂区内设置部分管道，由于项目厂区地下十分复杂，因此将考虑将污水管道地面设置，设置为管廊</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jc w:val="center"/>
              <w:rPr>
                <w:rFonts w:hint="eastAsia" w:ascii="Times New Roman" w:hAnsi="Times New Roman" w:eastAsia="宋体" w:cs="Times New Roman"/>
                <w:b/>
                <w:szCs w:val="21"/>
                <w:lang w:eastAsia="zh-CN"/>
              </w:rPr>
            </w:pPr>
            <w:r>
              <w:rPr>
                <w:rFonts w:hint="eastAsia" w:ascii="Times New Roman" w:hAnsi="Times New Roman" w:eastAsia="宋体" w:cs="Times New Roman"/>
                <w:b w:val="0"/>
                <w:bCs w:val="0"/>
                <w:szCs w:val="21"/>
                <w:lang w:eastAsia="zh-CN"/>
              </w:rPr>
              <w:t>配套工程</w:t>
            </w:r>
          </w:p>
        </w:tc>
        <w:tc>
          <w:tcPr>
            <w:tcW w:w="1269" w:type="dxa"/>
            <w:vAlign w:val="center"/>
          </w:tcPr>
          <w:p>
            <w:pPr>
              <w:pStyle w:val="6"/>
              <w:spacing w:before="0" w:after="0" w:line="240" w:lineRule="auto"/>
              <w:jc w:val="center"/>
              <w:rPr>
                <w:rFonts w:ascii="Times New Roman" w:hAnsi="Times New Roman" w:eastAsia="宋体" w:cs="Times New Roman"/>
                <w:sz w:val="21"/>
                <w:szCs w:val="21"/>
              </w:rPr>
            </w:pPr>
            <w:r>
              <w:rPr>
                <w:b w:val="0"/>
                <w:sz w:val="21"/>
                <w:szCs w:val="21"/>
              </w:rPr>
              <w:t>综合厂房</w:t>
            </w:r>
          </w:p>
        </w:tc>
        <w:tc>
          <w:tcPr>
            <w:tcW w:w="5323" w:type="dxa"/>
            <w:gridSpan w:val="3"/>
            <w:vAlign w:val="center"/>
          </w:tcPr>
          <w:p>
            <w:pPr>
              <w:snapToGrid w:val="0"/>
              <w:rPr>
                <w:rFonts w:ascii="Times New Roman" w:hAnsi="Times New Roman" w:eastAsia="宋体" w:cs="Times New Roman"/>
                <w:sz w:val="21"/>
                <w:szCs w:val="21"/>
              </w:rPr>
            </w:pPr>
            <w:r>
              <w:rPr>
                <w:sz w:val="21"/>
                <w:szCs w:val="21"/>
              </w:rPr>
              <w:t>1座，内设PAM加药装置1座；PAC加药装置1座；NaOH加药装置1座；NaH</w:t>
            </w:r>
            <w:r>
              <w:rPr>
                <w:sz w:val="21"/>
                <w:szCs w:val="21"/>
                <w:vertAlign w:val="subscript"/>
              </w:rPr>
              <w:t>2</w:t>
            </w:r>
            <w:r>
              <w:rPr>
                <w:sz w:val="21"/>
                <w:szCs w:val="21"/>
              </w:rPr>
              <w:t>PO</w:t>
            </w:r>
            <w:r>
              <w:rPr>
                <w:sz w:val="21"/>
                <w:szCs w:val="21"/>
                <w:vertAlign w:val="subscript"/>
              </w:rPr>
              <w:t>4</w:t>
            </w:r>
            <w:r>
              <w:rPr>
                <w:sz w:val="21"/>
                <w:szCs w:val="21"/>
              </w:rPr>
              <w:t>加药装置1座；甲醇加药装置1座</w:t>
            </w:r>
          </w:p>
        </w:tc>
        <w:tc>
          <w:tcPr>
            <w:tcW w:w="5114" w:type="dxa"/>
            <w:gridSpan w:val="4"/>
            <w:vAlign w:val="center"/>
          </w:tcPr>
          <w:p>
            <w:pPr>
              <w:snapToGrid w:val="0"/>
              <w:rPr>
                <w:rFonts w:ascii="Times New Roman" w:hAnsi="Times New Roman" w:eastAsia="宋体" w:cs="Times New Roman"/>
                <w:snapToGrid w:val="0"/>
                <w:kern w:val="0"/>
                <w:szCs w:val="21"/>
              </w:rPr>
            </w:pPr>
            <w:r>
              <w:rPr>
                <w:sz w:val="21"/>
                <w:szCs w:val="21"/>
              </w:rPr>
              <w:t>1座，内设PAM加药装置1座；PAC加药装置1座；NaOH加药装置1座；NaH</w:t>
            </w:r>
            <w:r>
              <w:rPr>
                <w:sz w:val="21"/>
                <w:szCs w:val="21"/>
                <w:vertAlign w:val="subscript"/>
              </w:rPr>
              <w:t>2</w:t>
            </w:r>
            <w:r>
              <w:rPr>
                <w:sz w:val="21"/>
                <w:szCs w:val="21"/>
              </w:rPr>
              <w:t>PO</w:t>
            </w:r>
            <w:r>
              <w:rPr>
                <w:sz w:val="21"/>
                <w:szCs w:val="21"/>
                <w:vertAlign w:val="subscript"/>
              </w:rPr>
              <w:t>4</w:t>
            </w:r>
            <w:r>
              <w:rPr>
                <w:sz w:val="21"/>
                <w:szCs w:val="21"/>
              </w:rPr>
              <w:t>加药装置1座；甲醇加药装置1座</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pStyle w:val="6"/>
              <w:spacing w:before="0" w:after="0" w:line="240" w:lineRule="auto"/>
              <w:jc w:val="center"/>
              <w:rPr>
                <w:rFonts w:ascii="Times New Roman" w:hAnsi="Times New Roman" w:eastAsia="宋体" w:cs="Times New Roman"/>
                <w:sz w:val="21"/>
                <w:szCs w:val="21"/>
              </w:rPr>
            </w:pPr>
            <w:r>
              <w:rPr>
                <w:b w:val="0"/>
                <w:sz w:val="21"/>
                <w:szCs w:val="21"/>
              </w:rPr>
              <w:t>鼓风机棚</w:t>
            </w:r>
          </w:p>
        </w:tc>
        <w:tc>
          <w:tcPr>
            <w:tcW w:w="5323" w:type="dxa"/>
            <w:gridSpan w:val="3"/>
            <w:vAlign w:val="center"/>
          </w:tcPr>
          <w:p>
            <w:pPr>
              <w:snapToGrid w:val="0"/>
              <w:rPr>
                <w:rFonts w:ascii="Times New Roman" w:hAnsi="Times New Roman" w:eastAsia="宋体" w:cs="Times New Roman"/>
                <w:sz w:val="21"/>
                <w:szCs w:val="21"/>
              </w:rPr>
            </w:pPr>
            <w:r>
              <w:rPr>
                <w:sz w:val="21"/>
                <w:szCs w:val="21"/>
              </w:rPr>
              <w:t>1座，布置鼓风机，为缓冲池、气化废水调节池、甲醇废水调节池提供搅拌空气，为SBR池提供溶解氧，工艺尺寸：27.0×7.5×6.0m</w:t>
            </w:r>
          </w:p>
        </w:tc>
        <w:tc>
          <w:tcPr>
            <w:tcW w:w="5114" w:type="dxa"/>
            <w:gridSpan w:val="4"/>
            <w:vAlign w:val="center"/>
          </w:tcPr>
          <w:p>
            <w:pPr>
              <w:snapToGrid w:val="0"/>
              <w:rPr>
                <w:rFonts w:ascii="Times New Roman" w:hAnsi="Times New Roman" w:eastAsia="宋体" w:cs="Times New Roman"/>
                <w:snapToGrid w:val="0"/>
                <w:kern w:val="0"/>
                <w:szCs w:val="21"/>
              </w:rPr>
            </w:pPr>
            <w:r>
              <w:rPr>
                <w:sz w:val="21"/>
                <w:szCs w:val="21"/>
              </w:rPr>
              <w:t>1座，布置鼓风机，为缓冲池、气化废水调节池、甲醇废水调节池提供搅拌空气，为SBR池提供溶解氧，工艺尺寸：27.0×7.5×6.0m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pStyle w:val="6"/>
              <w:spacing w:before="0" w:after="0" w:line="240" w:lineRule="auto"/>
              <w:jc w:val="center"/>
              <w:rPr>
                <w:rFonts w:ascii="Times New Roman" w:hAnsi="Times New Roman" w:eastAsia="宋体" w:cs="Times New Roman"/>
                <w:sz w:val="21"/>
                <w:szCs w:val="21"/>
              </w:rPr>
            </w:pPr>
            <w:r>
              <w:rPr>
                <w:b w:val="0"/>
                <w:sz w:val="21"/>
                <w:szCs w:val="21"/>
              </w:rPr>
              <w:t>泵房</w:t>
            </w:r>
          </w:p>
        </w:tc>
        <w:tc>
          <w:tcPr>
            <w:tcW w:w="5323" w:type="dxa"/>
            <w:gridSpan w:val="3"/>
            <w:vAlign w:val="center"/>
          </w:tcPr>
          <w:p>
            <w:pPr>
              <w:snapToGrid w:val="0"/>
              <w:rPr>
                <w:rFonts w:ascii="Times New Roman" w:hAnsi="Times New Roman" w:eastAsia="宋体" w:cs="Times New Roman"/>
                <w:sz w:val="21"/>
                <w:szCs w:val="21"/>
              </w:rPr>
            </w:pPr>
            <w:r>
              <w:rPr>
                <w:sz w:val="21"/>
                <w:szCs w:val="21"/>
              </w:rPr>
              <w:t>1座，放置射流循环泵，工艺尺寸：36.0×7.5×5.0m</w:t>
            </w:r>
          </w:p>
        </w:tc>
        <w:tc>
          <w:tcPr>
            <w:tcW w:w="5114" w:type="dxa"/>
            <w:gridSpan w:val="4"/>
            <w:vAlign w:val="center"/>
          </w:tcPr>
          <w:p>
            <w:pPr>
              <w:snapToGrid w:val="0"/>
              <w:rPr>
                <w:rFonts w:ascii="Times New Roman" w:hAnsi="Times New Roman" w:eastAsia="宋体" w:cs="Times New Roman"/>
                <w:snapToGrid w:val="0"/>
                <w:kern w:val="0"/>
                <w:szCs w:val="21"/>
              </w:rPr>
            </w:pPr>
            <w:r>
              <w:rPr>
                <w:sz w:val="21"/>
                <w:szCs w:val="21"/>
              </w:rPr>
              <w:t>1座，放置射流循环泵，工艺尺寸：36.0×7.5×5.0m</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pStyle w:val="6"/>
              <w:spacing w:before="0" w:after="0" w:line="240" w:lineRule="auto"/>
              <w:jc w:val="center"/>
              <w:rPr>
                <w:rFonts w:ascii="Times New Roman" w:hAnsi="Times New Roman" w:eastAsia="宋体" w:cs="Times New Roman"/>
                <w:sz w:val="21"/>
                <w:szCs w:val="21"/>
              </w:rPr>
            </w:pPr>
            <w:r>
              <w:rPr>
                <w:rFonts w:hint="eastAsia"/>
                <w:b w:val="0"/>
                <w:sz w:val="21"/>
                <w:szCs w:val="21"/>
              </w:rPr>
              <w:t>排污口</w:t>
            </w:r>
          </w:p>
        </w:tc>
        <w:tc>
          <w:tcPr>
            <w:tcW w:w="5323" w:type="dxa"/>
            <w:gridSpan w:val="3"/>
            <w:vAlign w:val="center"/>
          </w:tcPr>
          <w:p>
            <w:pPr>
              <w:snapToGrid w:val="0"/>
              <w:rPr>
                <w:rFonts w:ascii="Times New Roman" w:hAnsi="Times New Roman" w:eastAsia="宋体" w:cs="Times New Roman"/>
                <w:sz w:val="21"/>
                <w:szCs w:val="21"/>
              </w:rPr>
            </w:pPr>
            <w:r>
              <w:rPr>
                <w:rFonts w:hint="eastAsia"/>
                <w:sz w:val="21"/>
                <w:szCs w:val="21"/>
              </w:rPr>
              <w:t>利用厂区厂区总排口，现有厂区共设置1个总排口</w:t>
            </w:r>
          </w:p>
        </w:tc>
        <w:tc>
          <w:tcPr>
            <w:tcW w:w="5114" w:type="dxa"/>
            <w:gridSpan w:val="4"/>
            <w:vAlign w:val="center"/>
          </w:tcPr>
          <w:p>
            <w:pPr>
              <w:snapToGrid w:val="0"/>
              <w:rPr>
                <w:rFonts w:ascii="Times New Roman" w:hAnsi="Times New Roman" w:eastAsia="宋体" w:cs="Times New Roman"/>
                <w:snapToGrid w:val="0"/>
                <w:kern w:val="0"/>
                <w:szCs w:val="21"/>
              </w:rPr>
            </w:pPr>
            <w:r>
              <w:rPr>
                <w:rFonts w:hint="eastAsia"/>
                <w:sz w:val="21"/>
                <w:szCs w:val="21"/>
              </w:rPr>
              <w:t>利用厂区厂区总排口，现有厂区共设置1个总排口</w:t>
            </w:r>
          </w:p>
        </w:tc>
        <w:tc>
          <w:tcPr>
            <w:tcW w:w="1313" w:type="dxa"/>
            <w:vAlign w:val="center"/>
          </w:tcPr>
          <w:p>
            <w:pPr>
              <w:jc w:val="center"/>
              <w:rPr>
                <w:rFonts w:ascii="Times New Roman" w:hAnsi="Times New Roman" w:eastAsia="宋体" w:cs="Times New Roman"/>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pStyle w:val="6"/>
              <w:spacing w:before="0" w:after="0" w:line="240" w:lineRule="auto"/>
              <w:jc w:val="center"/>
              <w:rPr>
                <w:rFonts w:ascii="Times New Roman" w:hAnsi="Times New Roman" w:eastAsia="宋体" w:cs="Times New Roman"/>
                <w:sz w:val="21"/>
                <w:szCs w:val="21"/>
              </w:rPr>
            </w:pPr>
            <w:r>
              <w:rPr>
                <w:rFonts w:hint="eastAsia"/>
                <w:b w:val="0"/>
                <w:sz w:val="21"/>
                <w:szCs w:val="21"/>
              </w:rPr>
              <w:t>事故池</w:t>
            </w:r>
          </w:p>
        </w:tc>
        <w:tc>
          <w:tcPr>
            <w:tcW w:w="5323" w:type="dxa"/>
            <w:gridSpan w:val="3"/>
            <w:vAlign w:val="center"/>
          </w:tcPr>
          <w:p>
            <w:pPr>
              <w:snapToGrid w:val="0"/>
              <w:rPr>
                <w:rFonts w:ascii="Times New Roman" w:hAnsi="Times New Roman" w:eastAsia="宋体" w:cs="Times New Roman"/>
                <w:sz w:val="21"/>
                <w:szCs w:val="21"/>
              </w:rPr>
            </w:pPr>
            <w:r>
              <w:rPr>
                <w:rFonts w:hint="eastAsia"/>
                <w:sz w:val="21"/>
                <w:szCs w:val="21"/>
              </w:rPr>
              <w:t>现有厂区事故池8000m</w:t>
            </w:r>
            <w:r>
              <w:rPr>
                <w:rFonts w:hint="eastAsia"/>
                <w:sz w:val="21"/>
                <w:szCs w:val="21"/>
                <w:vertAlign w:val="superscript"/>
              </w:rPr>
              <w:t>3</w:t>
            </w:r>
            <w:r>
              <w:rPr>
                <w:rFonts w:hint="eastAsia"/>
                <w:sz w:val="21"/>
                <w:szCs w:val="21"/>
              </w:rPr>
              <w:t>，本项目事故排放利用现有厂区事故池，本次不新建事故池</w:t>
            </w:r>
          </w:p>
        </w:tc>
        <w:tc>
          <w:tcPr>
            <w:tcW w:w="5114" w:type="dxa"/>
            <w:gridSpan w:val="4"/>
            <w:vAlign w:val="center"/>
          </w:tcPr>
          <w:p>
            <w:pPr>
              <w:snapToGrid w:val="0"/>
              <w:rPr>
                <w:rFonts w:ascii="Times New Roman" w:hAnsi="Times New Roman" w:eastAsia="宋体" w:cs="Times New Roman"/>
                <w:szCs w:val="21"/>
              </w:rPr>
            </w:pPr>
            <w:r>
              <w:rPr>
                <w:rFonts w:hint="eastAsia"/>
                <w:sz w:val="21"/>
                <w:szCs w:val="21"/>
              </w:rPr>
              <w:t>现有厂区事故池8000m</w:t>
            </w:r>
            <w:r>
              <w:rPr>
                <w:rFonts w:hint="eastAsia"/>
                <w:sz w:val="21"/>
                <w:szCs w:val="21"/>
                <w:vertAlign w:val="superscript"/>
              </w:rPr>
              <w:t>3</w:t>
            </w:r>
            <w:r>
              <w:rPr>
                <w:rFonts w:hint="eastAsia"/>
                <w:sz w:val="21"/>
                <w:szCs w:val="21"/>
              </w:rPr>
              <w:t>，本项目事故排放利用现有厂区事故池，本次不新建事故池</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widowControl/>
              <w:snapToGrid w:val="0"/>
              <w:jc w:val="center"/>
              <w:rPr>
                <w:sz w:val="21"/>
                <w:szCs w:val="21"/>
              </w:rPr>
            </w:pPr>
            <w:r>
              <w:rPr>
                <w:sz w:val="21"/>
                <w:szCs w:val="21"/>
              </w:rPr>
              <w:t>辅助</w:t>
            </w:r>
          </w:p>
          <w:p>
            <w:pPr>
              <w:widowControl/>
              <w:snapToGrid w:val="0"/>
              <w:jc w:val="center"/>
              <w:rPr>
                <w:rFonts w:ascii="Times New Roman" w:hAnsi="Times New Roman" w:eastAsia="宋体" w:cs="Times New Roman"/>
                <w:b/>
                <w:sz w:val="21"/>
                <w:szCs w:val="21"/>
              </w:rPr>
            </w:pPr>
            <w:r>
              <w:rPr>
                <w:sz w:val="21"/>
                <w:szCs w:val="21"/>
              </w:rPr>
              <w:t>工程</w:t>
            </w:r>
          </w:p>
        </w:tc>
        <w:tc>
          <w:tcPr>
            <w:tcW w:w="1269" w:type="dxa"/>
            <w:vAlign w:val="center"/>
          </w:tcPr>
          <w:p>
            <w:pPr>
              <w:widowControl/>
              <w:snapToGrid w:val="0"/>
              <w:jc w:val="center"/>
              <w:rPr>
                <w:rFonts w:hint="eastAsia"/>
                <w:b w:val="0"/>
                <w:sz w:val="21"/>
                <w:szCs w:val="21"/>
              </w:rPr>
            </w:pPr>
            <w:r>
              <w:rPr>
                <w:sz w:val="21"/>
                <w:szCs w:val="21"/>
              </w:rPr>
              <w:t>人员办公</w:t>
            </w:r>
          </w:p>
        </w:tc>
        <w:tc>
          <w:tcPr>
            <w:tcW w:w="5323" w:type="dxa"/>
            <w:gridSpan w:val="3"/>
            <w:vAlign w:val="center"/>
          </w:tcPr>
          <w:p>
            <w:pPr>
              <w:widowControl/>
              <w:snapToGrid w:val="0"/>
              <w:jc w:val="left"/>
              <w:rPr>
                <w:rFonts w:hint="eastAsia"/>
                <w:sz w:val="21"/>
                <w:szCs w:val="21"/>
              </w:rPr>
            </w:pPr>
            <w:r>
              <w:rPr>
                <w:sz w:val="21"/>
                <w:szCs w:val="21"/>
              </w:rPr>
              <w:t>依托现有渭化集团办公设施</w:t>
            </w:r>
          </w:p>
        </w:tc>
        <w:tc>
          <w:tcPr>
            <w:tcW w:w="5114" w:type="dxa"/>
            <w:gridSpan w:val="4"/>
            <w:vAlign w:val="center"/>
          </w:tcPr>
          <w:p>
            <w:pPr>
              <w:widowControl/>
              <w:snapToGrid w:val="0"/>
              <w:jc w:val="left"/>
              <w:rPr>
                <w:rFonts w:ascii="Times New Roman" w:hAnsi="Times New Roman" w:eastAsia="宋体" w:cs="Times New Roman"/>
                <w:szCs w:val="21"/>
              </w:rPr>
            </w:pPr>
            <w:r>
              <w:rPr>
                <w:sz w:val="21"/>
                <w:szCs w:val="21"/>
              </w:rPr>
              <w:t>依托现有渭化集团办公设施</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widowControl/>
              <w:snapToGrid w:val="0"/>
              <w:jc w:val="center"/>
              <w:rPr>
                <w:rFonts w:ascii="Times New Roman" w:hAnsi="Times New Roman" w:eastAsia="宋体" w:cs="Times New Roman"/>
                <w:b/>
                <w:sz w:val="21"/>
                <w:szCs w:val="21"/>
              </w:rPr>
            </w:pPr>
          </w:p>
        </w:tc>
        <w:tc>
          <w:tcPr>
            <w:tcW w:w="1269" w:type="dxa"/>
            <w:vAlign w:val="center"/>
          </w:tcPr>
          <w:p>
            <w:pPr>
              <w:widowControl/>
              <w:snapToGrid w:val="0"/>
              <w:jc w:val="center"/>
              <w:rPr>
                <w:rFonts w:hint="eastAsia"/>
                <w:b w:val="0"/>
                <w:sz w:val="21"/>
                <w:szCs w:val="21"/>
              </w:rPr>
            </w:pPr>
            <w:r>
              <w:rPr>
                <w:sz w:val="21"/>
                <w:szCs w:val="21"/>
              </w:rPr>
              <w:t>附属用房</w:t>
            </w:r>
          </w:p>
        </w:tc>
        <w:tc>
          <w:tcPr>
            <w:tcW w:w="5323" w:type="dxa"/>
            <w:gridSpan w:val="3"/>
            <w:vAlign w:val="center"/>
          </w:tcPr>
          <w:p>
            <w:pPr>
              <w:widowControl/>
              <w:snapToGrid w:val="0"/>
              <w:jc w:val="left"/>
              <w:rPr>
                <w:rFonts w:hint="eastAsia"/>
                <w:sz w:val="21"/>
                <w:szCs w:val="21"/>
              </w:rPr>
            </w:pPr>
            <w:r>
              <w:rPr>
                <w:sz w:val="21"/>
                <w:szCs w:val="21"/>
              </w:rPr>
              <w:t>包含地面停车库，餐厅、宿舍、机修间</w:t>
            </w:r>
          </w:p>
        </w:tc>
        <w:tc>
          <w:tcPr>
            <w:tcW w:w="5114" w:type="dxa"/>
            <w:gridSpan w:val="4"/>
            <w:vAlign w:val="center"/>
          </w:tcPr>
          <w:p>
            <w:pPr>
              <w:widowControl/>
              <w:snapToGrid w:val="0"/>
              <w:jc w:val="left"/>
              <w:rPr>
                <w:rFonts w:ascii="Times New Roman" w:hAnsi="Times New Roman" w:eastAsia="宋体" w:cs="Times New Roman"/>
                <w:szCs w:val="21"/>
              </w:rPr>
            </w:pPr>
            <w:r>
              <w:rPr>
                <w:sz w:val="21"/>
                <w:szCs w:val="21"/>
              </w:rPr>
              <w:t>包含地面停车库，餐厅、宿舍、机修间</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continue"/>
            <w:vAlign w:val="center"/>
          </w:tcPr>
          <w:p>
            <w:pPr>
              <w:snapToGrid w:val="0"/>
              <w:jc w:val="center"/>
              <w:rPr>
                <w:rFonts w:ascii="Times New Roman" w:hAnsi="Times New Roman" w:eastAsia="宋体" w:cs="Times New Roman"/>
                <w:b/>
                <w:sz w:val="21"/>
                <w:szCs w:val="21"/>
              </w:rPr>
            </w:pPr>
          </w:p>
        </w:tc>
        <w:tc>
          <w:tcPr>
            <w:tcW w:w="1269" w:type="dxa"/>
            <w:vAlign w:val="center"/>
          </w:tcPr>
          <w:p>
            <w:pPr>
              <w:widowControl/>
              <w:snapToGrid w:val="0"/>
              <w:jc w:val="center"/>
              <w:rPr>
                <w:rFonts w:hint="eastAsia"/>
                <w:b w:val="0"/>
                <w:sz w:val="21"/>
                <w:szCs w:val="21"/>
              </w:rPr>
            </w:pPr>
            <w:r>
              <w:rPr>
                <w:sz w:val="21"/>
                <w:szCs w:val="21"/>
              </w:rPr>
              <w:t>配电室</w:t>
            </w:r>
          </w:p>
        </w:tc>
        <w:tc>
          <w:tcPr>
            <w:tcW w:w="5323" w:type="dxa"/>
            <w:gridSpan w:val="3"/>
            <w:vAlign w:val="center"/>
          </w:tcPr>
          <w:p>
            <w:pPr>
              <w:widowControl/>
              <w:snapToGrid w:val="0"/>
              <w:jc w:val="left"/>
              <w:rPr>
                <w:rFonts w:hint="eastAsia"/>
                <w:sz w:val="21"/>
                <w:szCs w:val="21"/>
              </w:rPr>
            </w:pPr>
            <w:r>
              <w:rPr>
                <w:sz w:val="21"/>
                <w:szCs w:val="21"/>
              </w:rPr>
              <w:t>新建1座配电室</w:t>
            </w:r>
          </w:p>
        </w:tc>
        <w:tc>
          <w:tcPr>
            <w:tcW w:w="5114" w:type="dxa"/>
            <w:gridSpan w:val="4"/>
            <w:vAlign w:val="center"/>
          </w:tcPr>
          <w:p>
            <w:pPr>
              <w:widowControl/>
              <w:snapToGrid w:val="0"/>
              <w:jc w:val="left"/>
              <w:rPr>
                <w:rFonts w:ascii="Times New Roman" w:hAnsi="Times New Roman" w:eastAsia="宋体" w:cs="Times New Roman"/>
                <w:szCs w:val="21"/>
              </w:rPr>
            </w:pPr>
            <w:r>
              <w:rPr>
                <w:sz w:val="21"/>
                <w:szCs w:val="21"/>
              </w:rPr>
              <w:t>新建1座配电室</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155" w:type="dxa"/>
            <w:vMerge w:val="restart"/>
            <w:vAlign w:val="center"/>
          </w:tcPr>
          <w:p>
            <w:pPr>
              <w:jc w:val="center"/>
              <w:rPr>
                <w:rFonts w:ascii="Times New Roman" w:hAnsi="Times New Roman" w:eastAsia="宋体" w:cs="Times New Roman"/>
                <w:b w:val="0"/>
                <w:bCs/>
                <w:szCs w:val="21"/>
              </w:rPr>
            </w:pPr>
            <w:r>
              <w:rPr>
                <w:rFonts w:ascii="Times New Roman" w:hAnsi="Times New Roman" w:eastAsia="宋体" w:cs="Times New Roman"/>
                <w:b w:val="0"/>
                <w:bCs/>
                <w:szCs w:val="21"/>
              </w:rPr>
              <w:t>公用工程</w:t>
            </w:r>
          </w:p>
        </w:tc>
        <w:tc>
          <w:tcPr>
            <w:tcW w:w="1269" w:type="dxa"/>
            <w:vAlign w:val="center"/>
          </w:tcPr>
          <w:p>
            <w:pPr>
              <w:snapToGrid w:val="0"/>
              <w:jc w:val="center"/>
              <w:rPr>
                <w:rFonts w:ascii="Times New Roman" w:hAnsi="Times New Roman" w:eastAsia="宋体" w:cs="Times New Roman"/>
                <w:sz w:val="21"/>
                <w:szCs w:val="21"/>
              </w:rPr>
            </w:pPr>
            <w:r>
              <w:rPr>
                <w:sz w:val="21"/>
                <w:szCs w:val="21"/>
              </w:rPr>
              <w:t>供电</w:t>
            </w:r>
          </w:p>
        </w:tc>
        <w:tc>
          <w:tcPr>
            <w:tcW w:w="5323" w:type="dxa"/>
            <w:gridSpan w:val="3"/>
            <w:vAlign w:val="center"/>
          </w:tcPr>
          <w:p>
            <w:pPr>
              <w:widowControl/>
              <w:snapToGrid w:val="0"/>
              <w:jc w:val="left"/>
              <w:rPr>
                <w:rFonts w:ascii="Times New Roman" w:hAnsi="Times New Roman" w:eastAsia="宋体" w:cs="Times New Roman"/>
                <w:sz w:val="21"/>
                <w:szCs w:val="21"/>
              </w:rPr>
            </w:pPr>
            <w:r>
              <w:rPr>
                <w:sz w:val="21"/>
                <w:szCs w:val="21"/>
              </w:rPr>
              <w:t>新建配电室1座，来源为市政供电</w:t>
            </w:r>
          </w:p>
        </w:tc>
        <w:tc>
          <w:tcPr>
            <w:tcW w:w="5114" w:type="dxa"/>
            <w:gridSpan w:val="4"/>
            <w:vAlign w:val="center"/>
          </w:tcPr>
          <w:p>
            <w:pPr>
              <w:widowControl/>
              <w:snapToGrid w:val="0"/>
              <w:jc w:val="left"/>
              <w:rPr>
                <w:rFonts w:ascii="Times New Roman" w:hAnsi="Times New Roman" w:eastAsia="宋体" w:cs="Times New Roman"/>
                <w:snapToGrid w:val="0"/>
                <w:kern w:val="0"/>
                <w:szCs w:val="21"/>
              </w:rPr>
            </w:pPr>
            <w:r>
              <w:rPr>
                <w:sz w:val="21"/>
                <w:szCs w:val="21"/>
              </w:rPr>
              <w:t>新建配电室1座，来源为市政供电</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snapToGrid w:val="0"/>
              <w:jc w:val="center"/>
              <w:rPr>
                <w:rFonts w:ascii="Times New Roman" w:hAnsi="Times New Roman" w:eastAsia="宋体" w:cs="Times New Roman"/>
                <w:sz w:val="21"/>
                <w:szCs w:val="21"/>
              </w:rPr>
            </w:pPr>
            <w:r>
              <w:rPr>
                <w:sz w:val="21"/>
                <w:szCs w:val="21"/>
              </w:rPr>
              <w:t>采暖</w:t>
            </w: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现有锅炉房统一制备并由全厂供热外管网统一供给</w:t>
            </w:r>
          </w:p>
        </w:tc>
        <w:tc>
          <w:tcPr>
            <w:tcW w:w="5114" w:type="dxa"/>
            <w:gridSpan w:val="4"/>
            <w:vAlign w:val="center"/>
          </w:tcPr>
          <w:p>
            <w:pPr>
              <w:widowControl/>
              <w:snapToGrid w:val="0"/>
              <w:rPr>
                <w:rFonts w:ascii="Times New Roman" w:hAnsi="Times New Roman" w:eastAsia="宋体" w:cs="Times New Roman"/>
                <w:szCs w:val="21"/>
              </w:rPr>
            </w:pPr>
            <w:r>
              <w:rPr>
                <w:sz w:val="21"/>
                <w:szCs w:val="21"/>
              </w:rPr>
              <w:t>现有锅炉房统一制备并由全厂供热外管网统一供给</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snapToGrid w:val="0"/>
              <w:jc w:val="center"/>
              <w:rPr>
                <w:rFonts w:ascii="Times New Roman" w:hAnsi="Times New Roman" w:eastAsia="宋体" w:cs="Times New Roman"/>
                <w:sz w:val="21"/>
                <w:szCs w:val="21"/>
              </w:rPr>
            </w:pPr>
            <w:r>
              <w:rPr>
                <w:sz w:val="21"/>
                <w:szCs w:val="21"/>
              </w:rPr>
              <w:t>通风</w:t>
            </w: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操作间采用轴流风机通风，其它采用自然通风</w:t>
            </w:r>
          </w:p>
        </w:tc>
        <w:tc>
          <w:tcPr>
            <w:tcW w:w="5114" w:type="dxa"/>
            <w:gridSpan w:val="4"/>
            <w:vAlign w:val="center"/>
          </w:tcPr>
          <w:p>
            <w:pPr>
              <w:widowControl/>
              <w:snapToGrid w:val="0"/>
              <w:rPr>
                <w:rFonts w:ascii="Times New Roman" w:hAnsi="Times New Roman" w:eastAsia="宋体" w:cs="Times New Roman"/>
                <w:snapToGrid w:val="0"/>
                <w:kern w:val="0"/>
                <w:szCs w:val="21"/>
              </w:rPr>
            </w:pPr>
            <w:r>
              <w:rPr>
                <w:sz w:val="21"/>
                <w:szCs w:val="21"/>
              </w:rPr>
              <w:t>操作间采用轴流风机通风，其它采用自然通风</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snapToGrid w:val="0"/>
              <w:jc w:val="center"/>
              <w:rPr>
                <w:rFonts w:ascii="Times New Roman" w:hAnsi="Times New Roman" w:eastAsia="宋体" w:cs="Times New Roman"/>
                <w:sz w:val="21"/>
                <w:szCs w:val="21"/>
              </w:rPr>
            </w:pPr>
            <w:r>
              <w:rPr>
                <w:sz w:val="21"/>
                <w:szCs w:val="21"/>
              </w:rPr>
              <w:t>供水</w:t>
            </w:r>
          </w:p>
        </w:tc>
        <w:tc>
          <w:tcPr>
            <w:tcW w:w="5323" w:type="dxa"/>
            <w:gridSpan w:val="3"/>
            <w:vAlign w:val="center"/>
          </w:tcPr>
          <w:p>
            <w:pPr>
              <w:widowControl/>
              <w:snapToGrid w:val="0"/>
              <w:rPr>
                <w:rFonts w:eastAsia="宋体" w:cs="Times New Roman"/>
                <w:sz w:val="21"/>
                <w:szCs w:val="21"/>
              </w:rPr>
            </w:pPr>
            <w:r>
              <w:rPr>
                <w:sz w:val="21"/>
                <w:szCs w:val="21"/>
              </w:rPr>
              <w:t>生产用水通过采用分质分级供水，水源依托现有厂区供水系统</w:t>
            </w:r>
          </w:p>
        </w:tc>
        <w:tc>
          <w:tcPr>
            <w:tcW w:w="5114" w:type="dxa"/>
            <w:gridSpan w:val="4"/>
            <w:vAlign w:val="center"/>
          </w:tcPr>
          <w:p>
            <w:pPr>
              <w:widowControl/>
              <w:snapToGrid w:val="0"/>
              <w:rPr>
                <w:rFonts w:eastAsia="宋体" w:cs="Times New Roman"/>
                <w:snapToGrid w:val="0"/>
                <w:kern w:val="0"/>
                <w:szCs w:val="21"/>
              </w:rPr>
            </w:pPr>
            <w:r>
              <w:rPr>
                <w:sz w:val="21"/>
                <w:szCs w:val="21"/>
              </w:rPr>
              <w:t>生产用水通过采用分质分级供水，水源依托现有厂区供水系统</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atLeast"/>
          <w:jc w:val="center"/>
        </w:trPr>
        <w:tc>
          <w:tcPr>
            <w:tcW w:w="1155" w:type="dxa"/>
            <w:vMerge w:val="continue"/>
            <w:vAlign w:val="center"/>
          </w:tcPr>
          <w:p>
            <w:pPr>
              <w:jc w:val="center"/>
              <w:rPr>
                <w:rFonts w:ascii="Times New Roman" w:hAnsi="Times New Roman" w:eastAsia="宋体" w:cs="Times New Roman"/>
                <w:b/>
                <w:szCs w:val="21"/>
              </w:rPr>
            </w:pPr>
          </w:p>
        </w:tc>
        <w:tc>
          <w:tcPr>
            <w:tcW w:w="1269" w:type="dxa"/>
            <w:vAlign w:val="center"/>
          </w:tcPr>
          <w:p>
            <w:pPr>
              <w:snapToGrid w:val="0"/>
              <w:jc w:val="center"/>
              <w:rPr>
                <w:rFonts w:ascii="Times New Roman" w:hAnsi="Times New Roman" w:eastAsia="宋体" w:cs="Times New Roman"/>
                <w:sz w:val="21"/>
                <w:szCs w:val="21"/>
              </w:rPr>
            </w:pPr>
            <w:r>
              <w:rPr>
                <w:sz w:val="21"/>
                <w:szCs w:val="21"/>
              </w:rPr>
              <w:t>排水</w:t>
            </w:r>
          </w:p>
        </w:tc>
        <w:tc>
          <w:tcPr>
            <w:tcW w:w="5323" w:type="dxa"/>
            <w:gridSpan w:val="3"/>
            <w:vAlign w:val="center"/>
          </w:tcPr>
          <w:p>
            <w:pPr>
              <w:widowControl/>
              <w:snapToGrid w:val="0"/>
              <w:rPr>
                <w:rFonts w:eastAsia="宋体" w:cs="Times New Roman"/>
                <w:sz w:val="21"/>
                <w:szCs w:val="21"/>
              </w:rPr>
            </w:pPr>
            <w:r>
              <w:rPr>
                <w:sz w:val="21"/>
                <w:szCs w:val="21"/>
              </w:rPr>
              <w:t>废水处理站出水达标后与现有厂区废水一同排入高新区污水处理厂，排水管道依托现有</w:t>
            </w:r>
          </w:p>
        </w:tc>
        <w:tc>
          <w:tcPr>
            <w:tcW w:w="5114" w:type="dxa"/>
            <w:gridSpan w:val="4"/>
            <w:vAlign w:val="center"/>
          </w:tcPr>
          <w:p>
            <w:pPr>
              <w:widowControl/>
              <w:snapToGrid w:val="0"/>
              <w:rPr>
                <w:rFonts w:eastAsia="宋体" w:cs="Times New Roman"/>
                <w:snapToGrid w:val="0"/>
                <w:kern w:val="0"/>
                <w:szCs w:val="21"/>
              </w:rPr>
            </w:pPr>
            <w:r>
              <w:rPr>
                <w:sz w:val="21"/>
                <w:szCs w:val="21"/>
              </w:rPr>
              <w:t>废水处理站出水达标后与现有厂区废水一同排入高新区污水处理厂，排水管道依托现有</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jc w:val="center"/>
        </w:trPr>
        <w:tc>
          <w:tcPr>
            <w:tcW w:w="1155" w:type="dxa"/>
            <w:vMerge w:val="restart"/>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eastAsia="zh-CN"/>
              </w:rPr>
              <w:t>储运工程</w:t>
            </w:r>
          </w:p>
        </w:tc>
        <w:tc>
          <w:tcPr>
            <w:tcW w:w="1269" w:type="dxa"/>
            <w:vMerge w:val="restart"/>
            <w:vAlign w:val="center"/>
          </w:tcPr>
          <w:p>
            <w:pPr>
              <w:snapToGrid w:val="0"/>
              <w:jc w:val="center"/>
              <w:rPr>
                <w:rFonts w:ascii="Times New Roman" w:hAnsi="Times New Roman" w:eastAsia="宋体" w:cs="Times New Roman"/>
                <w:sz w:val="21"/>
                <w:szCs w:val="21"/>
              </w:rPr>
            </w:pPr>
            <w:r>
              <w:rPr>
                <w:sz w:val="21"/>
                <w:szCs w:val="21"/>
              </w:rPr>
              <w:t>原料</w:t>
            </w: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氢氧化钠：</w:t>
            </w:r>
            <w:r>
              <w:rPr>
                <w:rFonts w:hint="eastAsia"/>
                <w:sz w:val="21"/>
                <w:szCs w:val="21"/>
              </w:rPr>
              <w:t>浓度为30%，</w:t>
            </w:r>
            <w:r>
              <w:rPr>
                <w:sz w:val="21"/>
                <w:szCs w:val="21"/>
              </w:rPr>
              <w:t>设置液碱罐，2个，每个10m</w:t>
            </w:r>
            <w:r>
              <w:rPr>
                <w:sz w:val="21"/>
                <w:szCs w:val="21"/>
                <w:vertAlign w:val="superscript"/>
              </w:rPr>
              <w:t>3</w:t>
            </w:r>
            <w:r>
              <w:rPr>
                <w:sz w:val="21"/>
                <w:szCs w:val="21"/>
              </w:rPr>
              <w:t>。</w:t>
            </w:r>
          </w:p>
        </w:tc>
        <w:tc>
          <w:tcPr>
            <w:tcW w:w="5114" w:type="dxa"/>
            <w:gridSpan w:val="4"/>
            <w:vAlign w:val="center"/>
          </w:tcPr>
          <w:p>
            <w:pPr>
              <w:widowControl/>
              <w:snapToGrid w:val="0"/>
              <w:rPr>
                <w:rFonts w:ascii="Times New Roman" w:hAnsi="Times New Roman" w:eastAsia="宋体" w:cs="Times New Roman"/>
                <w:szCs w:val="21"/>
              </w:rPr>
            </w:pPr>
            <w:r>
              <w:rPr>
                <w:sz w:val="21"/>
                <w:szCs w:val="21"/>
              </w:rPr>
              <w:t>氢氧化钠：</w:t>
            </w:r>
            <w:r>
              <w:rPr>
                <w:rFonts w:hint="eastAsia"/>
                <w:sz w:val="21"/>
                <w:szCs w:val="21"/>
              </w:rPr>
              <w:t>浓度为30%，</w:t>
            </w:r>
            <w:r>
              <w:rPr>
                <w:sz w:val="21"/>
                <w:szCs w:val="21"/>
              </w:rPr>
              <w:t>设置液碱罐，2个，每个10m</w:t>
            </w:r>
            <w:r>
              <w:rPr>
                <w:sz w:val="21"/>
                <w:szCs w:val="21"/>
                <w:vertAlign w:val="superscript"/>
              </w:rPr>
              <w:t>3</w:t>
            </w:r>
            <w:r>
              <w:rPr>
                <w:sz w:val="21"/>
                <w:szCs w:val="21"/>
              </w:rPr>
              <w:t>。</w:t>
            </w:r>
          </w:p>
        </w:tc>
        <w:tc>
          <w:tcPr>
            <w:tcW w:w="1313" w:type="dxa"/>
            <w:vAlign w:val="center"/>
          </w:tcPr>
          <w:p>
            <w:pPr>
              <w:jc w:val="center"/>
              <w:rPr>
                <w:rFonts w:ascii="Times New Roman" w:hAnsi="Times New Roman" w:eastAsia="宋体" w:cs="Times New Roman"/>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甲醇：设置甲醇罐，1个，2m</w:t>
            </w:r>
            <w:r>
              <w:rPr>
                <w:sz w:val="21"/>
                <w:szCs w:val="21"/>
                <w:vertAlign w:val="superscript"/>
              </w:rPr>
              <w:t>3</w:t>
            </w:r>
            <w:r>
              <w:rPr>
                <w:sz w:val="21"/>
                <w:szCs w:val="21"/>
              </w:rPr>
              <w:t>。</w:t>
            </w:r>
          </w:p>
        </w:tc>
        <w:tc>
          <w:tcPr>
            <w:tcW w:w="5114" w:type="dxa"/>
            <w:gridSpan w:val="4"/>
            <w:vAlign w:val="center"/>
          </w:tcPr>
          <w:p>
            <w:pPr>
              <w:widowControl/>
              <w:snapToGrid w:val="0"/>
              <w:rPr>
                <w:rFonts w:ascii="Times New Roman" w:hAnsi="Times New Roman" w:eastAsia="宋体" w:cs="Times New Roman"/>
                <w:szCs w:val="21"/>
              </w:rPr>
            </w:pPr>
            <w:r>
              <w:rPr>
                <w:sz w:val="21"/>
                <w:szCs w:val="21"/>
              </w:rPr>
              <w:t>甲醇：设置甲醇罐，1个，2m</w:t>
            </w:r>
            <w:r>
              <w:rPr>
                <w:sz w:val="21"/>
                <w:szCs w:val="21"/>
                <w:vertAlign w:val="superscript"/>
              </w:rPr>
              <w:t>3</w:t>
            </w:r>
            <w:r>
              <w:rPr>
                <w:sz w:val="21"/>
                <w:szCs w:val="21"/>
              </w:rPr>
              <w:t>。</w:t>
            </w:r>
          </w:p>
        </w:tc>
        <w:tc>
          <w:tcPr>
            <w:tcW w:w="1313" w:type="dxa"/>
            <w:vAlign w:val="center"/>
          </w:tcPr>
          <w:p>
            <w:pPr>
              <w:jc w:val="center"/>
              <w:rPr>
                <w:rFonts w:ascii="Times New Roman" w:hAnsi="Times New Roman" w:eastAsia="宋体" w:cs="Times New Roman"/>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PAC：储存在贮存间，袋装。</w:t>
            </w:r>
          </w:p>
        </w:tc>
        <w:tc>
          <w:tcPr>
            <w:tcW w:w="5114" w:type="dxa"/>
            <w:gridSpan w:val="4"/>
            <w:vAlign w:val="center"/>
          </w:tcPr>
          <w:p>
            <w:pPr>
              <w:widowControl/>
              <w:snapToGrid w:val="0"/>
              <w:rPr>
                <w:rFonts w:ascii="Times New Roman" w:hAnsi="Times New Roman" w:eastAsia="宋体" w:cs="Times New Roman"/>
                <w:szCs w:val="21"/>
              </w:rPr>
            </w:pPr>
            <w:r>
              <w:rPr>
                <w:sz w:val="21"/>
                <w:szCs w:val="21"/>
              </w:rPr>
              <w:t>PAC：储存在贮存间，袋装。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磷酸二氢钠：储存在贮存间，袋装。</w:t>
            </w:r>
          </w:p>
        </w:tc>
        <w:tc>
          <w:tcPr>
            <w:tcW w:w="5114" w:type="dxa"/>
            <w:gridSpan w:val="4"/>
            <w:vAlign w:val="center"/>
          </w:tcPr>
          <w:p>
            <w:pPr>
              <w:widowControl/>
              <w:snapToGrid w:val="0"/>
              <w:rPr>
                <w:rFonts w:ascii="Times New Roman" w:hAnsi="Times New Roman" w:eastAsia="宋体" w:cs="Times New Roman"/>
                <w:szCs w:val="21"/>
              </w:rPr>
            </w:pPr>
            <w:r>
              <w:rPr>
                <w:sz w:val="21"/>
                <w:szCs w:val="21"/>
              </w:rPr>
              <w:t>磷酸二氢钠：储存在贮存间，袋装。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PAM：储存在贮存间，袋装。</w:t>
            </w:r>
          </w:p>
        </w:tc>
        <w:tc>
          <w:tcPr>
            <w:tcW w:w="5114" w:type="dxa"/>
            <w:gridSpan w:val="4"/>
            <w:vAlign w:val="center"/>
          </w:tcPr>
          <w:p>
            <w:pPr>
              <w:widowControl/>
              <w:snapToGrid w:val="0"/>
              <w:rPr>
                <w:rFonts w:ascii="Times New Roman" w:hAnsi="Times New Roman" w:eastAsia="宋体" w:cs="Times New Roman"/>
                <w:szCs w:val="21"/>
              </w:rPr>
            </w:pPr>
            <w:r>
              <w:rPr>
                <w:sz w:val="21"/>
                <w:szCs w:val="21"/>
              </w:rPr>
              <w:t>PAM：储存在贮存间，袋装。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1"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盐酸：</w:t>
            </w:r>
            <w:r>
              <w:rPr>
                <w:rFonts w:hint="eastAsia"/>
                <w:sz w:val="21"/>
                <w:szCs w:val="21"/>
              </w:rPr>
              <w:t>浓度为30%，</w:t>
            </w:r>
            <w:r>
              <w:rPr>
                <w:sz w:val="21"/>
                <w:szCs w:val="21"/>
              </w:rPr>
              <w:t>设置盐酸罐，1个，10m</w:t>
            </w:r>
            <w:r>
              <w:rPr>
                <w:sz w:val="21"/>
                <w:szCs w:val="21"/>
                <w:vertAlign w:val="superscript"/>
              </w:rPr>
              <w:t>3</w:t>
            </w:r>
            <w:r>
              <w:rPr>
                <w:sz w:val="21"/>
                <w:szCs w:val="21"/>
              </w:rPr>
              <w:t>。</w:t>
            </w:r>
          </w:p>
        </w:tc>
        <w:tc>
          <w:tcPr>
            <w:tcW w:w="5114" w:type="dxa"/>
            <w:gridSpan w:val="4"/>
            <w:vAlign w:val="center"/>
          </w:tcPr>
          <w:p>
            <w:pPr>
              <w:widowControl/>
              <w:snapToGrid w:val="0"/>
              <w:rPr>
                <w:rFonts w:ascii="Times New Roman" w:hAnsi="Times New Roman" w:eastAsia="宋体" w:cs="Times New Roman"/>
                <w:szCs w:val="21"/>
              </w:rPr>
            </w:pPr>
            <w:r>
              <w:rPr>
                <w:sz w:val="21"/>
                <w:szCs w:val="21"/>
              </w:rPr>
              <w:t>盐酸：</w:t>
            </w:r>
            <w:r>
              <w:rPr>
                <w:rFonts w:hint="eastAsia"/>
                <w:sz w:val="21"/>
                <w:szCs w:val="21"/>
              </w:rPr>
              <w:t>浓度为30%，</w:t>
            </w:r>
            <w:r>
              <w:rPr>
                <w:sz w:val="21"/>
                <w:szCs w:val="21"/>
              </w:rPr>
              <w:t>设置盐酸罐，1个，10m</w:t>
            </w:r>
            <w:r>
              <w:rPr>
                <w:sz w:val="21"/>
                <w:szCs w:val="21"/>
                <w:vertAlign w:val="superscript"/>
              </w:rPr>
              <w:t>3</w:t>
            </w:r>
            <w:r>
              <w:rPr>
                <w:sz w:val="21"/>
                <w:szCs w:val="21"/>
              </w:rPr>
              <w:t>。</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widowControl/>
              <w:snapToGrid w:val="0"/>
              <w:rPr>
                <w:rFonts w:ascii="Times New Roman" w:hAnsi="Times New Roman" w:eastAsia="宋体" w:cs="Times New Roman"/>
                <w:sz w:val="21"/>
                <w:szCs w:val="21"/>
              </w:rPr>
            </w:pPr>
            <w:r>
              <w:rPr>
                <w:sz w:val="21"/>
                <w:szCs w:val="21"/>
              </w:rPr>
              <w:t>杀菌剂：罐装，1个，1m</w:t>
            </w:r>
            <w:r>
              <w:rPr>
                <w:sz w:val="21"/>
                <w:szCs w:val="21"/>
                <w:vertAlign w:val="superscript"/>
              </w:rPr>
              <w:t>3</w:t>
            </w:r>
            <w:r>
              <w:rPr>
                <w:sz w:val="21"/>
                <w:szCs w:val="21"/>
              </w:rPr>
              <w:t>。</w:t>
            </w:r>
          </w:p>
        </w:tc>
        <w:tc>
          <w:tcPr>
            <w:tcW w:w="5114" w:type="dxa"/>
            <w:gridSpan w:val="4"/>
            <w:vAlign w:val="center"/>
          </w:tcPr>
          <w:p>
            <w:pPr>
              <w:widowControl/>
              <w:snapToGrid w:val="0"/>
              <w:rPr>
                <w:rFonts w:ascii="Times New Roman" w:hAnsi="Times New Roman" w:eastAsia="宋体" w:cs="Times New Roman"/>
                <w:szCs w:val="21"/>
              </w:rPr>
            </w:pPr>
            <w:r>
              <w:rPr>
                <w:sz w:val="21"/>
                <w:szCs w:val="21"/>
              </w:rPr>
              <w:t>杀菌剂：罐装，1个，1m</w:t>
            </w:r>
            <w:r>
              <w:rPr>
                <w:sz w:val="21"/>
                <w:szCs w:val="21"/>
                <w:vertAlign w:val="superscript"/>
              </w:rPr>
              <w:t>3</w:t>
            </w:r>
            <w:r>
              <w:rPr>
                <w:sz w:val="21"/>
                <w:szCs w:val="21"/>
              </w:rPr>
              <w:t>。</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snapToGrid w:val="0"/>
              <w:jc w:val="left"/>
              <w:rPr>
                <w:rFonts w:ascii="Times New Roman" w:hAnsi="Times New Roman" w:eastAsia="宋体" w:cs="Times New Roman"/>
                <w:sz w:val="21"/>
                <w:szCs w:val="21"/>
              </w:rPr>
            </w:pPr>
            <w:r>
              <w:rPr>
                <w:sz w:val="21"/>
                <w:szCs w:val="21"/>
              </w:rPr>
              <w:t>碳酸钠：储存在贮存间，袋装。</w:t>
            </w:r>
          </w:p>
        </w:tc>
        <w:tc>
          <w:tcPr>
            <w:tcW w:w="5114" w:type="dxa"/>
            <w:gridSpan w:val="4"/>
            <w:vAlign w:val="center"/>
          </w:tcPr>
          <w:p>
            <w:pPr>
              <w:snapToGrid w:val="0"/>
              <w:jc w:val="left"/>
              <w:rPr>
                <w:rFonts w:ascii="Times New Roman" w:hAnsi="Times New Roman" w:eastAsia="宋体" w:cs="Times New Roman"/>
                <w:szCs w:val="21"/>
              </w:rPr>
            </w:pPr>
            <w:r>
              <w:rPr>
                <w:sz w:val="21"/>
                <w:szCs w:val="21"/>
              </w:rPr>
              <w:t>碳酸钠：储存在贮存间，袋装。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snapToGrid w:val="0"/>
              <w:jc w:val="left"/>
              <w:rPr>
                <w:rFonts w:ascii="Times New Roman" w:hAnsi="Times New Roman" w:eastAsia="宋体" w:cs="Times New Roman"/>
                <w:sz w:val="21"/>
                <w:szCs w:val="21"/>
              </w:rPr>
            </w:pPr>
            <w:r>
              <w:rPr>
                <w:sz w:val="21"/>
                <w:szCs w:val="21"/>
              </w:rPr>
              <w:t>阻垢剂：储存在贮存间，袋装。</w:t>
            </w:r>
          </w:p>
        </w:tc>
        <w:tc>
          <w:tcPr>
            <w:tcW w:w="5114" w:type="dxa"/>
            <w:gridSpan w:val="4"/>
            <w:vAlign w:val="center"/>
          </w:tcPr>
          <w:p>
            <w:pPr>
              <w:snapToGrid w:val="0"/>
              <w:jc w:val="left"/>
              <w:rPr>
                <w:rFonts w:ascii="Times New Roman" w:hAnsi="Times New Roman" w:eastAsia="宋体" w:cs="Times New Roman"/>
                <w:szCs w:val="21"/>
              </w:rPr>
            </w:pPr>
            <w:r>
              <w:rPr>
                <w:sz w:val="21"/>
                <w:szCs w:val="21"/>
              </w:rPr>
              <w:t>阻垢剂：储存在贮存间，袋装。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Merge w:val="continue"/>
            <w:vAlign w:val="center"/>
          </w:tcPr>
          <w:p>
            <w:pPr>
              <w:snapToGrid w:val="0"/>
              <w:jc w:val="center"/>
              <w:rPr>
                <w:rFonts w:ascii="Times New Roman" w:hAnsi="Times New Roman" w:eastAsia="宋体" w:cs="Times New Roman"/>
                <w:sz w:val="21"/>
                <w:szCs w:val="21"/>
              </w:rPr>
            </w:pPr>
          </w:p>
        </w:tc>
        <w:tc>
          <w:tcPr>
            <w:tcW w:w="5323" w:type="dxa"/>
            <w:gridSpan w:val="3"/>
            <w:vAlign w:val="center"/>
          </w:tcPr>
          <w:p>
            <w:pPr>
              <w:snapToGrid w:val="0"/>
              <w:jc w:val="left"/>
              <w:rPr>
                <w:rFonts w:ascii="Times New Roman" w:hAnsi="Times New Roman" w:eastAsia="宋体" w:cs="Times New Roman"/>
                <w:sz w:val="21"/>
                <w:szCs w:val="21"/>
              </w:rPr>
            </w:pPr>
            <w:r>
              <w:rPr>
                <w:sz w:val="21"/>
                <w:szCs w:val="21"/>
              </w:rPr>
              <w:t>非氧化杀菌剂：储存在贮存间，袋装。</w:t>
            </w:r>
          </w:p>
        </w:tc>
        <w:tc>
          <w:tcPr>
            <w:tcW w:w="5114" w:type="dxa"/>
            <w:gridSpan w:val="4"/>
            <w:vAlign w:val="center"/>
          </w:tcPr>
          <w:p>
            <w:pPr>
              <w:snapToGrid w:val="0"/>
              <w:jc w:val="left"/>
              <w:rPr>
                <w:rFonts w:ascii="Times New Roman" w:hAnsi="Times New Roman" w:eastAsia="宋体" w:cs="Times New Roman"/>
                <w:szCs w:val="21"/>
              </w:rPr>
            </w:pPr>
            <w:r>
              <w:rPr>
                <w:sz w:val="21"/>
                <w:szCs w:val="21"/>
              </w:rPr>
              <w:t>非氧化杀菌剂：储存在贮存间，袋装。</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restart"/>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eastAsia="zh-CN"/>
              </w:rPr>
              <w:t>环保工程</w:t>
            </w:r>
          </w:p>
        </w:tc>
        <w:tc>
          <w:tcPr>
            <w:tcW w:w="1269" w:type="dxa"/>
            <w:vAlign w:val="center"/>
          </w:tcPr>
          <w:p>
            <w:pPr>
              <w:widowControl/>
              <w:snapToGrid w:val="0"/>
              <w:jc w:val="center"/>
              <w:rPr>
                <w:sz w:val="21"/>
                <w:szCs w:val="21"/>
              </w:rPr>
            </w:pPr>
            <w:r>
              <w:rPr>
                <w:sz w:val="21"/>
                <w:szCs w:val="21"/>
              </w:rPr>
              <w:t>除臭</w:t>
            </w:r>
          </w:p>
          <w:p>
            <w:pPr>
              <w:widowControl/>
              <w:snapToGrid w:val="0"/>
              <w:jc w:val="center"/>
              <w:rPr>
                <w:rFonts w:ascii="Times New Roman" w:hAnsi="Times New Roman" w:eastAsia="宋体" w:cs="Times New Roman"/>
                <w:sz w:val="21"/>
                <w:szCs w:val="21"/>
              </w:rPr>
            </w:pPr>
            <w:r>
              <w:rPr>
                <w:sz w:val="21"/>
                <w:szCs w:val="21"/>
              </w:rPr>
              <w:t>装置</w:t>
            </w:r>
          </w:p>
        </w:tc>
        <w:tc>
          <w:tcPr>
            <w:tcW w:w="5323" w:type="dxa"/>
            <w:gridSpan w:val="3"/>
            <w:vAlign w:val="center"/>
          </w:tcPr>
          <w:p>
            <w:pPr>
              <w:snapToGrid w:val="0"/>
              <w:rPr>
                <w:sz w:val="21"/>
                <w:szCs w:val="21"/>
              </w:rPr>
            </w:pPr>
            <w:r>
              <w:rPr>
                <w:sz w:val="21"/>
                <w:szCs w:val="21"/>
              </w:rPr>
              <w:t>对污水厂产生臭源的</w:t>
            </w:r>
            <w:r>
              <w:rPr>
                <w:sz w:val="21"/>
                <w:szCs w:val="21"/>
                <w:lang w:val="da-DK"/>
              </w:rPr>
              <w:t>调节池、SBR反应池、污泥池等加盖板封闭</w:t>
            </w:r>
            <w:r>
              <w:rPr>
                <w:sz w:val="21"/>
                <w:szCs w:val="21"/>
              </w:rPr>
              <w:t>，臭气建议经收集处理后采用排气筒排放。</w:t>
            </w:r>
          </w:p>
        </w:tc>
        <w:tc>
          <w:tcPr>
            <w:tcW w:w="5114" w:type="dxa"/>
            <w:gridSpan w:val="4"/>
            <w:vAlign w:val="center"/>
          </w:tcPr>
          <w:p>
            <w:pPr>
              <w:snapToGrid w:val="0"/>
              <w:rPr>
                <w:rFonts w:ascii="Times New Roman" w:hAnsi="Times New Roman" w:eastAsia="宋体" w:cs="Times New Roman"/>
                <w:szCs w:val="21"/>
              </w:rPr>
            </w:pPr>
            <w:r>
              <w:rPr>
                <w:sz w:val="21"/>
                <w:szCs w:val="21"/>
              </w:rPr>
              <w:t>对污水厂产生臭源的</w:t>
            </w:r>
            <w:r>
              <w:rPr>
                <w:sz w:val="21"/>
                <w:szCs w:val="21"/>
                <w:lang w:val="da-DK"/>
              </w:rPr>
              <w:t>调节池、SBR反应池、污泥池等加盖板封闭</w:t>
            </w:r>
            <w:r>
              <w:rPr>
                <w:sz w:val="21"/>
                <w:szCs w:val="21"/>
              </w:rPr>
              <w:t>，臭气建议经收集处理后采用排气筒排放。</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Align w:val="center"/>
          </w:tcPr>
          <w:p>
            <w:pPr>
              <w:widowControl/>
              <w:snapToGrid w:val="0"/>
              <w:jc w:val="center"/>
              <w:rPr>
                <w:sz w:val="21"/>
                <w:szCs w:val="21"/>
              </w:rPr>
            </w:pPr>
            <w:r>
              <w:rPr>
                <w:sz w:val="21"/>
                <w:szCs w:val="21"/>
              </w:rPr>
              <w:t>生活</w:t>
            </w:r>
          </w:p>
          <w:p>
            <w:pPr>
              <w:widowControl/>
              <w:snapToGrid w:val="0"/>
              <w:jc w:val="center"/>
              <w:rPr>
                <w:rFonts w:ascii="Times New Roman" w:hAnsi="Times New Roman" w:eastAsia="宋体" w:cs="Times New Roman"/>
                <w:sz w:val="21"/>
                <w:szCs w:val="21"/>
              </w:rPr>
            </w:pPr>
            <w:r>
              <w:rPr>
                <w:sz w:val="21"/>
                <w:szCs w:val="21"/>
              </w:rPr>
              <w:t>垃圾</w:t>
            </w:r>
          </w:p>
        </w:tc>
        <w:tc>
          <w:tcPr>
            <w:tcW w:w="5323" w:type="dxa"/>
            <w:gridSpan w:val="3"/>
            <w:vAlign w:val="center"/>
          </w:tcPr>
          <w:p>
            <w:pPr>
              <w:snapToGrid w:val="0"/>
              <w:jc w:val="left"/>
              <w:rPr>
                <w:sz w:val="21"/>
                <w:szCs w:val="21"/>
              </w:rPr>
            </w:pPr>
            <w:r>
              <w:rPr>
                <w:sz w:val="21"/>
                <w:szCs w:val="21"/>
              </w:rPr>
              <w:t>生活垃圾统一收集，由环卫部门运至垃圾填埋场处置</w:t>
            </w:r>
          </w:p>
        </w:tc>
        <w:tc>
          <w:tcPr>
            <w:tcW w:w="5114" w:type="dxa"/>
            <w:gridSpan w:val="4"/>
            <w:vAlign w:val="center"/>
          </w:tcPr>
          <w:p>
            <w:pPr>
              <w:snapToGrid w:val="0"/>
              <w:jc w:val="left"/>
              <w:rPr>
                <w:rFonts w:ascii="Times New Roman" w:hAnsi="Times New Roman" w:eastAsia="宋体" w:cs="Times New Roman"/>
                <w:szCs w:val="21"/>
              </w:rPr>
            </w:pPr>
            <w:r>
              <w:rPr>
                <w:sz w:val="21"/>
                <w:szCs w:val="21"/>
              </w:rPr>
              <w:t>生活垃圾统一收集，由环卫部门运至垃圾填埋场处置</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Align w:val="center"/>
          </w:tcPr>
          <w:p>
            <w:pPr>
              <w:widowControl/>
              <w:snapToGrid w:val="0"/>
              <w:jc w:val="center"/>
              <w:rPr>
                <w:rFonts w:ascii="Times New Roman" w:hAnsi="Times New Roman" w:eastAsia="宋体" w:cs="Times New Roman"/>
                <w:sz w:val="21"/>
                <w:szCs w:val="21"/>
              </w:rPr>
            </w:pPr>
            <w:r>
              <w:rPr>
                <w:sz w:val="21"/>
                <w:szCs w:val="21"/>
              </w:rPr>
              <w:t>污泥</w:t>
            </w:r>
          </w:p>
        </w:tc>
        <w:tc>
          <w:tcPr>
            <w:tcW w:w="5323" w:type="dxa"/>
            <w:gridSpan w:val="3"/>
            <w:vAlign w:val="center"/>
          </w:tcPr>
          <w:p>
            <w:pPr>
              <w:snapToGrid w:val="0"/>
              <w:jc w:val="left"/>
              <w:rPr>
                <w:sz w:val="21"/>
                <w:szCs w:val="21"/>
              </w:rPr>
            </w:pPr>
            <w:r>
              <w:rPr>
                <w:sz w:val="21"/>
                <w:szCs w:val="21"/>
              </w:rPr>
              <w:t>污泥通过污泥泵送至污泥脱水机房脱水处理，</w:t>
            </w:r>
            <w:r>
              <w:rPr>
                <w:rFonts w:hint="eastAsia"/>
                <w:sz w:val="21"/>
                <w:szCs w:val="21"/>
              </w:rPr>
              <w:t>将含水率降至60%后，</w:t>
            </w:r>
            <w:r>
              <w:rPr>
                <w:sz w:val="21"/>
                <w:szCs w:val="21"/>
              </w:rPr>
              <w:t>然后</w:t>
            </w:r>
            <w:r>
              <w:rPr>
                <w:rFonts w:hint="eastAsia"/>
                <w:sz w:val="21"/>
                <w:szCs w:val="21"/>
              </w:rPr>
              <w:t>与现有污泥</w:t>
            </w:r>
            <w:r>
              <w:rPr>
                <w:sz w:val="21"/>
                <w:szCs w:val="21"/>
              </w:rPr>
              <w:t>统一外运处理。</w:t>
            </w:r>
          </w:p>
        </w:tc>
        <w:tc>
          <w:tcPr>
            <w:tcW w:w="5114" w:type="dxa"/>
            <w:gridSpan w:val="4"/>
            <w:vAlign w:val="center"/>
          </w:tcPr>
          <w:p>
            <w:pPr>
              <w:snapToGrid w:val="0"/>
              <w:jc w:val="left"/>
              <w:rPr>
                <w:rFonts w:ascii="Times New Roman" w:hAnsi="Times New Roman" w:eastAsia="宋体" w:cs="Times New Roman"/>
                <w:szCs w:val="21"/>
              </w:rPr>
            </w:pPr>
            <w:r>
              <w:rPr>
                <w:sz w:val="21"/>
                <w:szCs w:val="21"/>
              </w:rPr>
              <w:t>污泥通过污泥泵送至污泥脱水机房脱水处理，</w:t>
            </w:r>
            <w:r>
              <w:rPr>
                <w:rFonts w:hint="eastAsia"/>
                <w:sz w:val="21"/>
                <w:szCs w:val="21"/>
              </w:rPr>
              <w:t>将含水率降至60%后，</w:t>
            </w:r>
            <w:r>
              <w:rPr>
                <w:sz w:val="21"/>
                <w:szCs w:val="21"/>
              </w:rPr>
              <w:t>然后</w:t>
            </w:r>
            <w:r>
              <w:rPr>
                <w:rFonts w:hint="eastAsia"/>
                <w:sz w:val="21"/>
                <w:szCs w:val="21"/>
              </w:rPr>
              <w:t>与现有污泥</w:t>
            </w:r>
            <w:r>
              <w:rPr>
                <w:sz w:val="21"/>
                <w:szCs w:val="21"/>
              </w:rPr>
              <w:t>统一外运</w:t>
            </w:r>
            <w:r>
              <w:rPr>
                <w:rFonts w:hint="eastAsia"/>
                <w:sz w:val="21"/>
                <w:szCs w:val="21"/>
                <w:lang w:eastAsia="zh-CN"/>
              </w:rPr>
              <w:t>至渭化集团灰渣场</w:t>
            </w:r>
            <w:r>
              <w:rPr>
                <w:sz w:val="21"/>
                <w:szCs w:val="21"/>
              </w:rPr>
              <w:t>处理。</w:t>
            </w:r>
          </w:p>
        </w:tc>
        <w:tc>
          <w:tcPr>
            <w:tcW w:w="131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1155" w:type="dxa"/>
            <w:vMerge w:val="continue"/>
            <w:vAlign w:val="center"/>
          </w:tcPr>
          <w:p>
            <w:pPr>
              <w:jc w:val="center"/>
              <w:rPr>
                <w:rFonts w:ascii="Times New Roman" w:hAnsi="Times New Roman" w:eastAsia="宋体" w:cs="Times New Roman"/>
                <w:szCs w:val="21"/>
              </w:rPr>
            </w:pPr>
          </w:p>
        </w:tc>
        <w:tc>
          <w:tcPr>
            <w:tcW w:w="1269" w:type="dxa"/>
            <w:vAlign w:val="center"/>
          </w:tcPr>
          <w:p>
            <w:pPr>
              <w:widowControl/>
              <w:snapToGrid w:val="0"/>
              <w:jc w:val="center"/>
              <w:rPr>
                <w:rFonts w:ascii="Times New Roman" w:hAnsi="Times New Roman" w:eastAsia="宋体" w:cs="Times New Roman"/>
                <w:sz w:val="21"/>
                <w:szCs w:val="21"/>
              </w:rPr>
            </w:pPr>
            <w:r>
              <w:rPr>
                <w:sz w:val="21"/>
                <w:szCs w:val="21"/>
              </w:rPr>
              <w:t>噪声</w:t>
            </w:r>
          </w:p>
        </w:tc>
        <w:tc>
          <w:tcPr>
            <w:tcW w:w="5323" w:type="dxa"/>
            <w:gridSpan w:val="3"/>
            <w:vAlign w:val="center"/>
          </w:tcPr>
          <w:p>
            <w:pPr>
              <w:snapToGrid w:val="0"/>
              <w:jc w:val="left"/>
              <w:rPr>
                <w:rFonts w:hint="eastAsia" w:eastAsia="宋体"/>
                <w:sz w:val="21"/>
                <w:szCs w:val="21"/>
                <w:lang w:eastAsia="zh-CN"/>
              </w:rPr>
            </w:pPr>
            <w:r>
              <w:rPr>
                <w:sz w:val="21"/>
                <w:szCs w:val="21"/>
              </w:rPr>
              <w:t>采用低噪声设备及减震、隔声等措施</w:t>
            </w:r>
            <w:r>
              <w:rPr>
                <w:rFonts w:hint="eastAsia"/>
                <w:sz w:val="21"/>
                <w:szCs w:val="21"/>
                <w:lang w:eastAsia="zh-CN"/>
              </w:rPr>
              <w:t>。鼓风机及排风机安装消声器，污泥脱水间安装中空玻璃窗。</w:t>
            </w:r>
          </w:p>
        </w:tc>
        <w:tc>
          <w:tcPr>
            <w:tcW w:w="5114" w:type="dxa"/>
            <w:gridSpan w:val="4"/>
            <w:vAlign w:val="center"/>
          </w:tcPr>
          <w:p>
            <w:pPr>
              <w:snapToGrid w:val="0"/>
              <w:jc w:val="left"/>
              <w:rPr>
                <w:rFonts w:ascii="Times New Roman" w:hAnsi="Times New Roman" w:eastAsia="宋体" w:cs="Times New Roman"/>
                <w:szCs w:val="21"/>
              </w:rPr>
            </w:pPr>
            <w:r>
              <w:rPr>
                <w:sz w:val="21"/>
                <w:szCs w:val="21"/>
              </w:rPr>
              <w:t>采用低噪声设备及减震、隔声等措施</w:t>
            </w:r>
            <w:r>
              <w:rPr>
                <w:rFonts w:hint="eastAsia"/>
                <w:sz w:val="21"/>
                <w:szCs w:val="21"/>
                <w:lang w:eastAsia="zh-CN"/>
              </w:rPr>
              <w:t>。污泥脱水间安装了中空玻璃窗。</w:t>
            </w:r>
          </w:p>
        </w:tc>
        <w:tc>
          <w:tcPr>
            <w:tcW w:w="1313" w:type="dxa"/>
            <w:vAlign w:val="center"/>
          </w:tcPr>
          <w:p>
            <w:pPr>
              <w:jc w:val="center"/>
              <w:rPr>
                <w:rFonts w:ascii="Times New Roman" w:hAnsi="Times New Roman" w:eastAsia="宋体" w:cs="Times New Roman"/>
                <w:szCs w:val="21"/>
              </w:rPr>
            </w:pPr>
            <w:r>
              <w:rPr>
                <w:rFonts w:hint="eastAsia"/>
                <w:sz w:val="21"/>
                <w:szCs w:val="21"/>
                <w:lang w:eastAsia="zh-CN"/>
              </w:rPr>
              <w:t>鼓风机及排风机未安装消声器</w:t>
            </w:r>
          </w:p>
        </w:tc>
      </w:tr>
      <w:bookmarkEnd w:id="23"/>
      <w:bookmarkEnd w:id="24"/>
      <w:bookmarkEnd w:id="25"/>
      <w:bookmarkEnd w:id="26"/>
      <w:bookmarkEnd w:id="27"/>
      <w:bookmarkEnd w:id="28"/>
      <w:bookmarkEnd w:id="29"/>
    </w:tbl>
    <w:p>
      <w:pPr>
        <w:pStyle w:val="5"/>
        <w:rPr>
          <w:rFonts w:ascii="Times New Roman" w:hAnsi="Times New Roman" w:cs="Times New Roman"/>
        </w:rPr>
        <w:sectPr>
          <w:headerReference r:id="rId15" w:type="default"/>
          <w:footerReference r:id="rId16"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5"/>
        <w:rPr>
          <w:rFonts w:ascii="Times New Roman" w:hAnsi="Times New Roman" w:cs="Times New Roman"/>
          <w:sz w:val="24"/>
          <w:szCs w:val="24"/>
        </w:rPr>
      </w:pPr>
      <w:bookmarkStart w:id="31" w:name="_Toc427247753"/>
      <w:bookmarkStart w:id="32" w:name="_Toc7765"/>
      <w:r>
        <w:rPr>
          <w:rFonts w:ascii="Times New Roman" w:hAnsi="Times New Roman" w:cs="Times New Roman"/>
          <w:sz w:val="24"/>
          <w:szCs w:val="24"/>
        </w:rPr>
        <w:t>3.3</w:t>
      </w:r>
      <w:bookmarkEnd w:id="31"/>
      <w:r>
        <w:rPr>
          <w:rFonts w:ascii="Times New Roman" w:hAnsi="Times New Roman" w:cs="Times New Roman"/>
          <w:sz w:val="24"/>
          <w:szCs w:val="24"/>
        </w:rPr>
        <w:t>主要原辅材料</w:t>
      </w:r>
      <w:bookmarkEnd w:id="32"/>
    </w:p>
    <w:p>
      <w:pPr>
        <w:spacing w:line="360" w:lineRule="auto"/>
        <w:ind w:firstLine="512" w:firstLineChars="200"/>
        <w:rPr>
          <w:rFonts w:ascii="Times New Roman" w:hAnsi="Times New Roman" w:cs="Times New Roman"/>
          <w:sz w:val="24"/>
        </w:rPr>
      </w:pPr>
      <w:bookmarkStart w:id="33" w:name="_Toc509952089"/>
      <w:r>
        <w:rPr>
          <w:rFonts w:ascii="Times New Roman" w:hAnsi="Times New Roman" w:cs="Times New Roman"/>
          <w:spacing w:val="8"/>
          <w:sz w:val="24"/>
        </w:rPr>
        <w:t>本项目所需主要原辅材料为</w:t>
      </w:r>
      <w:r>
        <w:rPr>
          <w:rFonts w:hint="eastAsia" w:ascii="Times New Roman" w:hAnsi="Times New Roman" w:cs="Times New Roman"/>
          <w:sz w:val="24"/>
          <w:lang w:eastAsia="zh-CN"/>
        </w:rPr>
        <w:t>氢氧化钠、甲醇、</w:t>
      </w:r>
      <w:r>
        <w:rPr>
          <w:rFonts w:hint="eastAsia" w:ascii="Times New Roman" w:hAnsi="Times New Roman" w:cs="Times New Roman"/>
          <w:sz w:val="24"/>
          <w:lang w:val="en-US" w:eastAsia="zh-CN"/>
        </w:rPr>
        <w:t>PAC</w:t>
      </w:r>
      <w:r>
        <w:rPr>
          <w:rFonts w:ascii="Times New Roman" w:hAnsi="Times New Roman" w:cs="Times New Roman"/>
          <w:sz w:val="24"/>
        </w:rPr>
        <w:t>等</w:t>
      </w:r>
      <w:r>
        <w:rPr>
          <w:rFonts w:ascii="Times New Roman" w:hAnsi="Times New Roman" w:cs="Times New Roman"/>
          <w:spacing w:val="8"/>
          <w:sz w:val="24"/>
        </w:rPr>
        <w:t>，</w:t>
      </w:r>
      <w:r>
        <w:rPr>
          <w:rFonts w:ascii="Times New Roman" w:hAnsi="Times New Roman" w:cs="Times New Roman"/>
          <w:sz w:val="24"/>
        </w:rPr>
        <w:t>本项目产品的原辅材料用料见下表3.3-1。</w:t>
      </w:r>
    </w:p>
    <w:p>
      <w:pPr>
        <w:pStyle w:val="11"/>
        <w:spacing w:before="120" w:after="120"/>
        <w:rPr>
          <w:rFonts w:ascii="Times New Roman" w:hAnsi="Times New Roman" w:cs="Times New Roman"/>
          <w:bCs/>
        </w:rPr>
      </w:pPr>
      <w:r>
        <w:rPr>
          <w:rFonts w:ascii="Times New Roman" w:hAnsi="Times New Roman" w:cs="Times New Roman"/>
          <w:bCs/>
        </w:rPr>
        <w:t>表3.3-1    原辅材料及能源消耗表</w:t>
      </w:r>
    </w:p>
    <w:tbl>
      <w:tblPr>
        <w:tblStyle w:val="27"/>
        <w:tblW w:w="8528" w:type="dxa"/>
        <w:jc w:val="center"/>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250"/>
        <w:gridCol w:w="998"/>
        <w:gridCol w:w="998"/>
        <w:gridCol w:w="1269"/>
        <w:gridCol w:w="812"/>
        <w:gridCol w:w="123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szCs w:val="21"/>
              </w:rPr>
            </w:pPr>
            <w:r>
              <w:rPr>
                <w:szCs w:val="21"/>
              </w:rPr>
              <w:t>序号</w:t>
            </w:r>
          </w:p>
        </w:tc>
        <w:tc>
          <w:tcPr>
            <w:tcW w:w="2250" w:type="dxa"/>
            <w:tcBorders>
              <w:tl2br w:val="nil"/>
              <w:tr2bl w:val="nil"/>
            </w:tcBorders>
            <w:vAlign w:val="center"/>
          </w:tcPr>
          <w:p>
            <w:pPr>
              <w:adjustRightInd w:val="0"/>
              <w:snapToGrid w:val="0"/>
              <w:jc w:val="center"/>
              <w:rPr>
                <w:szCs w:val="21"/>
              </w:rPr>
            </w:pPr>
            <w:r>
              <w:rPr>
                <w:szCs w:val="21"/>
              </w:rPr>
              <w:t>项目</w:t>
            </w:r>
          </w:p>
        </w:tc>
        <w:tc>
          <w:tcPr>
            <w:tcW w:w="998" w:type="dxa"/>
            <w:tcBorders>
              <w:tl2br w:val="nil"/>
              <w:tr2bl w:val="nil"/>
            </w:tcBorders>
            <w:vAlign w:val="center"/>
          </w:tcPr>
          <w:p>
            <w:pPr>
              <w:adjustRightInd w:val="0"/>
              <w:snapToGrid w:val="0"/>
              <w:jc w:val="center"/>
              <w:rPr>
                <w:szCs w:val="21"/>
              </w:rPr>
            </w:pPr>
            <w:r>
              <w:rPr>
                <w:szCs w:val="21"/>
              </w:rPr>
              <w:t>单位</w:t>
            </w:r>
          </w:p>
        </w:tc>
        <w:tc>
          <w:tcPr>
            <w:tcW w:w="998" w:type="dxa"/>
            <w:tcBorders>
              <w:tl2br w:val="nil"/>
              <w:tr2bl w:val="nil"/>
            </w:tcBorders>
            <w:vAlign w:val="center"/>
          </w:tcPr>
          <w:p>
            <w:pPr>
              <w:adjustRightInd w:val="0"/>
              <w:snapToGrid w:val="0"/>
              <w:jc w:val="center"/>
              <w:rPr>
                <w:szCs w:val="21"/>
              </w:rPr>
            </w:pPr>
            <w:r>
              <w:rPr>
                <w:szCs w:val="21"/>
              </w:rPr>
              <w:t>年消耗量</w:t>
            </w:r>
          </w:p>
        </w:tc>
        <w:tc>
          <w:tcPr>
            <w:tcW w:w="1269" w:type="dxa"/>
            <w:tcBorders>
              <w:tl2br w:val="nil"/>
              <w:tr2bl w:val="nil"/>
            </w:tcBorders>
            <w:vAlign w:val="center"/>
          </w:tcPr>
          <w:p>
            <w:pPr>
              <w:adjustRightInd w:val="0"/>
              <w:snapToGrid w:val="0"/>
              <w:jc w:val="center"/>
              <w:rPr>
                <w:szCs w:val="21"/>
              </w:rPr>
            </w:pPr>
            <w:r>
              <w:rPr>
                <w:szCs w:val="21"/>
              </w:rPr>
              <w:t>储存</w:t>
            </w:r>
            <w:r>
              <w:rPr>
                <w:rFonts w:hint="eastAsia"/>
                <w:szCs w:val="21"/>
              </w:rPr>
              <w:t>方式</w:t>
            </w:r>
          </w:p>
        </w:tc>
        <w:tc>
          <w:tcPr>
            <w:tcW w:w="812" w:type="dxa"/>
            <w:tcBorders>
              <w:tl2br w:val="nil"/>
              <w:tr2bl w:val="nil"/>
            </w:tcBorders>
            <w:vAlign w:val="center"/>
          </w:tcPr>
          <w:p>
            <w:pPr>
              <w:adjustRightInd w:val="0"/>
              <w:snapToGrid w:val="0"/>
              <w:jc w:val="center"/>
              <w:rPr>
                <w:szCs w:val="21"/>
              </w:rPr>
            </w:pPr>
            <w:r>
              <w:rPr>
                <w:szCs w:val="21"/>
              </w:rPr>
              <w:t>储存地</w:t>
            </w:r>
          </w:p>
        </w:tc>
        <w:tc>
          <w:tcPr>
            <w:tcW w:w="1236" w:type="dxa"/>
            <w:tcBorders>
              <w:tl2br w:val="nil"/>
              <w:tr2bl w:val="nil"/>
            </w:tcBorders>
            <w:vAlign w:val="center"/>
          </w:tcPr>
          <w:p>
            <w:pPr>
              <w:adjustRightInd w:val="0"/>
              <w:snapToGrid w:val="0"/>
              <w:jc w:val="center"/>
              <w:rPr>
                <w:szCs w:val="21"/>
              </w:rPr>
            </w:pPr>
            <w:r>
              <w:rPr>
                <w:szCs w:val="21"/>
              </w:rPr>
              <w:t>最大存储量</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1</w:t>
            </w:r>
          </w:p>
        </w:tc>
        <w:tc>
          <w:tcPr>
            <w:tcW w:w="2250" w:type="dxa"/>
            <w:tcBorders>
              <w:tl2br w:val="nil"/>
              <w:tr2bl w:val="nil"/>
            </w:tcBorders>
            <w:vAlign w:val="center"/>
          </w:tcPr>
          <w:p>
            <w:pPr>
              <w:widowControl/>
              <w:snapToGrid w:val="0"/>
              <w:jc w:val="center"/>
              <w:rPr>
                <w:szCs w:val="21"/>
              </w:rPr>
            </w:pPr>
            <w:r>
              <w:rPr>
                <w:szCs w:val="21"/>
              </w:rPr>
              <w:t>氢氧化钠</w:t>
            </w:r>
            <w:r>
              <w:rPr>
                <w:rFonts w:hint="eastAsia"/>
                <w:szCs w:val="21"/>
              </w:rPr>
              <w:t>（浓度为30%）</w:t>
            </w:r>
          </w:p>
        </w:tc>
        <w:tc>
          <w:tcPr>
            <w:tcW w:w="998" w:type="dxa"/>
            <w:tcBorders>
              <w:tl2br w:val="nil"/>
              <w:tr2bl w:val="nil"/>
            </w:tcBorders>
            <w:vAlign w:val="center"/>
          </w:tcPr>
          <w:p>
            <w:pPr>
              <w:autoSpaceDE w:val="0"/>
              <w:autoSpaceDN w:val="0"/>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4"/>
              </w:rPr>
            </w:pPr>
            <w:r>
              <w:t>1708.0</w:t>
            </w:r>
          </w:p>
        </w:tc>
        <w:tc>
          <w:tcPr>
            <w:tcW w:w="1269" w:type="dxa"/>
            <w:tcBorders>
              <w:tl2br w:val="nil"/>
              <w:tr2bl w:val="nil"/>
            </w:tcBorders>
            <w:vAlign w:val="center"/>
          </w:tcPr>
          <w:p>
            <w:pPr>
              <w:adjustRightInd w:val="0"/>
              <w:snapToGrid w:val="0"/>
              <w:jc w:val="center"/>
              <w:rPr>
                <w:szCs w:val="21"/>
              </w:rPr>
            </w:pPr>
            <w:r>
              <w:rPr>
                <w:szCs w:val="21"/>
              </w:rPr>
              <w:t>液碱（罐装）</w:t>
            </w:r>
          </w:p>
        </w:tc>
        <w:tc>
          <w:tcPr>
            <w:tcW w:w="812" w:type="dxa"/>
            <w:tcBorders>
              <w:tl2br w:val="nil"/>
              <w:tr2bl w:val="nil"/>
            </w:tcBorders>
            <w:vAlign w:val="center"/>
          </w:tcPr>
          <w:p>
            <w:pPr>
              <w:adjustRightInd w:val="0"/>
              <w:snapToGrid w:val="0"/>
              <w:jc w:val="center"/>
              <w:rPr>
                <w:szCs w:val="21"/>
              </w:rPr>
            </w:pPr>
            <w:r>
              <w:rPr>
                <w:szCs w:val="21"/>
              </w:rPr>
              <w:t>罐区</w:t>
            </w:r>
          </w:p>
        </w:tc>
        <w:tc>
          <w:tcPr>
            <w:tcW w:w="1236" w:type="dxa"/>
            <w:tcBorders>
              <w:tl2br w:val="nil"/>
              <w:tr2bl w:val="nil"/>
            </w:tcBorders>
            <w:vAlign w:val="center"/>
          </w:tcPr>
          <w:p>
            <w:pPr>
              <w:adjustRightInd w:val="0"/>
              <w:snapToGrid w:val="0"/>
              <w:jc w:val="center"/>
              <w:rPr>
                <w:szCs w:val="21"/>
              </w:rPr>
            </w:pPr>
            <w:r>
              <w:rPr>
                <w:szCs w:val="21"/>
              </w:rPr>
              <w:t>2×10m</w:t>
            </w:r>
            <w:r>
              <w:rPr>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2</w:t>
            </w:r>
          </w:p>
        </w:tc>
        <w:tc>
          <w:tcPr>
            <w:tcW w:w="2250" w:type="dxa"/>
            <w:tcBorders>
              <w:tl2br w:val="nil"/>
              <w:tr2bl w:val="nil"/>
            </w:tcBorders>
            <w:vAlign w:val="center"/>
          </w:tcPr>
          <w:p>
            <w:pPr>
              <w:widowControl/>
              <w:snapToGrid w:val="0"/>
              <w:jc w:val="center"/>
              <w:rPr>
                <w:szCs w:val="21"/>
              </w:rPr>
            </w:pPr>
            <w:r>
              <w:rPr>
                <w:szCs w:val="21"/>
              </w:rPr>
              <w:t>甲醇</w:t>
            </w:r>
          </w:p>
        </w:tc>
        <w:tc>
          <w:tcPr>
            <w:tcW w:w="998" w:type="dxa"/>
            <w:tcBorders>
              <w:tl2br w:val="nil"/>
              <w:tr2bl w:val="nil"/>
            </w:tcBorders>
            <w:vAlign w:val="center"/>
          </w:tcPr>
          <w:p>
            <w:pPr>
              <w:autoSpaceDE w:val="0"/>
              <w:autoSpaceDN w:val="0"/>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4"/>
              </w:rPr>
            </w:pPr>
            <w:r>
              <w:t>1052.7</w:t>
            </w:r>
          </w:p>
        </w:tc>
        <w:tc>
          <w:tcPr>
            <w:tcW w:w="1269" w:type="dxa"/>
            <w:tcBorders>
              <w:tl2br w:val="nil"/>
              <w:tr2bl w:val="nil"/>
            </w:tcBorders>
            <w:vAlign w:val="center"/>
          </w:tcPr>
          <w:p>
            <w:pPr>
              <w:adjustRightInd w:val="0"/>
              <w:snapToGrid w:val="0"/>
              <w:jc w:val="center"/>
              <w:rPr>
                <w:szCs w:val="21"/>
              </w:rPr>
            </w:pPr>
            <w:r>
              <w:rPr>
                <w:szCs w:val="21"/>
              </w:rPr>
              <w:t>罐装</w:t>
            </w:r>
          </w:p>
        </w:tc>
        <w:tc>
          <w:tcPr>
            <w:tcW w:w="812" w:type="dxa"/>
            <w:tcBorders>
              <w:tl2br w:val="nil"/>
              <w:tr2bl w:val="nil"/>
            </w:tcBorders>
            <w:vAlign w:val="center"/>
          </w:tcPr>
          <w:p>
            <w:pPr>
              <w:adjustRightInd w:val="0"/>
              <w:snapToGrid w:val="0"/>
              <w:jc w:val="center"/>
              <w:rPr>
                <w:szCs w:val="21"/>
              </w:rPr>
            </w:pPr>
            <w:r>
              <w:rPr>
                <w:szCs w:val="21"/>
              </w:rPr>
              <w:t>罐区</w:t>
            </w:r>
          </w:p>
        </w:tc>
        <w:tc>
          <w:tcPr>
            <w:tcW w:w="1236" w:type="dxa"/>
            <w:tcBorders>
              <w:tl2br w:val="nil"/>
              <w:tr2bl w:val="nil"/>
            </w:tcBorders>
            <w:vAlign w:val="center"/>
          </w:tcPr>
          <w:p>
            <w:pPr>
              <w:adjustRightInd w:val="0"/>
              <w:snapToGrid w:val="0"/>
              <w:jc w:val="center"/>
              <w:rPr>
                <w:szCs w:val="21"/>
              </w:rPr>
            </w:pPr>
            <w:r>
              <w:rPr>
                <w:szCs w:val="21"/>
              </w:rPr>
              <w:t>2m</w:t>
            </w:r>
            <w:r>
              <w:rPr>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3</w:t>
            </w:r>
          </w:p>
        </w:tc>
        <w:tc>
          <w:tcPr>
            <w:tcW w:w="2250" w:type="dxa"/>
            <w:tcBorders>
              <w:tl2br w:val="nil"/>
              <w:tr2bl w:val="nil"/>
            </w:tcBorders>
            <w:vAlign w:val="center"/>
          </w:tcPr>
          <w:p>
            <w:pPr>
              <w:widowControl/>
              <w:snapToGrid w:val="0"/>
              <w:jc w:val="center"/>
              <w:rPr>
                <w:szCs w:val="21"/>
              </w:rPr>
            </w:pPr>
            <w:r>
              <w:rPr>
                <w:szCs w:val="21"/>
              </w:rPr>
              <w:t>PAC</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4"/>
              </w:rPr>
            </w:pPr>
            <w:r>
              <w:t>71.6</w:t>
            </w:r>
          </w:p>
        </w:tc>
        <w:tc>
          <w:tcPr>
            <w:tcW w:w="1269" w:type="dxa"/>
            <w:tcBorders>
              <w:tl2br w:val="nil"/>
              <w:tr2bl w:val="nil"/>
            </w:tcBorders>
            <w:vAlign w:val="center"/>
          </w:tcPr>
          <w:p>
            <w:pPr>
              <w:adjustRightInd w:val="0"/>
              <w:snapToGrid w:val="0"/>
              <w:jc w:val="center"/>
              <w:rPr>
                <w:szCs w:val="21"/>
              </w:rPr>
            </w:pPr>
            <w:r>
              <w:rPr>
                <w:szCs w:val="21"/>
              </w:rPr>
              <w:t>袋装</w:t>
            </w:r>
          </w:p>
        </w:tc>
        <w:tc>
          <w:tcPr>
            <w:tcW w:w="812" w:type="dxa"/>
            <w:tcBorders>
              <w:tl2br w:val="nil"/>
              <w:tr2bl w:val="nil"/>
            </w:tcBorders>
            <w:vAlign w:val="center"/>
          </w:tcPr>
          <w:p>
            <w:pPr>
              <w:adjustRightInd w:val="0"/>
              <w:snapToGrid w:val="0"/>
              <w:jc w:val="center"/>
              <w:rPr>
                <w:szCs w:val="21"/>
              </w:rP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4</w:t>
            </w:r>
          </w:p>
        </w:tc>
        <w:tc>
          <w:tcPr>
            <w:tcW w:w="2250" w:type="dxa"/>
            <w:tcBorders>
              <w:tl2br w:val="nil"/>
              <w:tr2bl w:val="nil"/>
            </w:tcBorders>
            <w:vAlign w:val="center"/>
          </w:tcPr>
          <w:p>
            <w:pPr>
              <w:widowControl/>
              <w:snapToGrid w:val="0"/>
              <w:jc w:val="center"/>
              <w:rPr>
                <w:szCs w:val="21"/>
              </w:rPr>
            </w:pPr>
            <w:r>
              <w:rPr>
                <w:szCs w:val="21"/>
              </w:rPr>
              <w:t>磷酸二氢钠</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4"/>
              </w:rPr>
            </w:pPr>
            <w:r>
              <w:t>176</w:t>
            </w:r>
          </w:p>
        </w:tc>
        <w:tc>
          <w:tcPr>
            <w:tcW w:w="1269" w:type="dxa"/>
            <w:tcBorders>
              <w:tl2br w:val="nil"/>
              <w:tr2bl w:val="nil"/>
            </w:tcBorders>
            <w:vAlign w:val="center"/>
          </w:tcPr>
          <w:p>
            <w:pPr>
              <w:adjustRightInd w:val="0"/>
              <w:snapToGrid w:val="0"/>
              <w:jc w:val="center"/>
              <w:rPr>
                <w:szCs w:val="21"/>
              </w:rPr>
            </w:pPr>
            <w:r>
              <w:rPr>
                <w:szCs w:val="21"/>
              </w:rPr>
              <w:t>袋装</w:t>
            </w:r>
          </w:p>
        </w:tc>
        <w:tc>
          <w:tcPr>
            <w:tcW w:w="812" w:type="dxa"/>
            <w:tcBorders>
              <w:tl2br w:val="nil"/>
              <w:tr2bl w:val="nil"/>
            </w:tcBorders>
            <w:vAlign w:val="center"/>
          </w:tcPr>
          <w:p>
            <w:pPr>
              <w:adjustRightInd w:val="0"/>
              <w:snapToGrid w:val="0"/>
              <w:jc w:val="center"/>
              <w:rPr>
                <w:szCs w:val="21"/>
              </w:rP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5</w:t>
            </w:r>
          </w:p>
        </w:tc>
        <w:tc>
          <w:tcPr>
            <w:tcW w:w="2250" w:type="dxa"/>
            <w:tcBorders>
              <w:tl2br w:val="nil"/>
              <w:tr2bl w:val="nil"/>
            </w:tcBorders>
            <w:vAlign w:val="center"/>
          </w:tcPr>
          <w:p>
            <w:pPr>
              <w:widowControl/>
              <w:snapToGrid w:val="0"/>
              <w:jc w:val="center"/>
              <w:rPr>
                <w:szCs w:val="21"/>
              </w:rPr>
            </w:pPr>
            <w:r>
              <w:rPr>
                <w:szCs w:val="21"/>
              </w:rPr>
              <w:t>PAM</w:t>
            </w:r>
          </w:p>
        </w:tc>
        <w:tc>
          <w:tcPr>
            <w:tcW w:w="998" w:type="dxa"/>
            <w:tcBorders>
              <w:tl2br w:val="nil"/>
              <w:tr2bl w:val="nil"/>
            </w:tcBorders>
            <w:vAlign w:val="center"/>
          </w:tcPr>
          <w:p>
            <w:pPr>
              <w:autoSpaceDE w:val="0"/>
              <w:autoSpaceDN w:val="0"/>
              <w:adjustRightInd w:val="0"/>
              <w:snapToGrid w:val="0"/>
              <w:jc w:val="center"/>
              <w:rPr>
                <w:szCs w:val="21"/>
              </w:rPr>
            </w:pPr>
            <w:r>
              <w:rPr>
                <w:szCs w:val="21"/>
              </w:rPr>
              <w:t>t/a</w:t>
            </w:r>
          </w:p>
        </w:tc>
        <w:tc>
          <w:tcPr>
            <w:tcW w:w="998" w:type="dxa"/>
            <w:tcBorders>
              <w:tl2br w:val="nil"/>
              <w:tr2bl w:val="nil"/>
            </w:tcBorders>
            <w:vAlign w:val="center"/>
          </w:tcPr>
          <w:p>
            <w:pPr>
              <w:snapToGrid w:val="0"/>
              <w:jc w:val="center"/>
            </w:pPr>
            <w:r>
              <w:t>243.4</w:t>
            </w:r>
          </w:p>
        </w:tc>
        <w:tc>
          <w:tcPr>
            <w:tcW w:w="1269" w:type="dxa"/>
            <w:tcBorders>
              <w:tl2br w:val="nil"/>
              <w:tr2bl w:val="nil"/>
            </w:tcBorders>
            <w:vAlign w:val="center"/>
          </w:tcPr>
          <w:p>
            <w:pPr>
              <w:adjustRightInd w:val="0"/>
              <w:snapToGrid w:val="0"/>
              <w:jc w:val="center"/>
              <w:rPr>
                <w:szCs w:val="21"/>
              </w:rPr>
            </w:pPr>
            <w:r>
              <w:rPr>
                <w:szCs w:val="21"/>
              </w:rPr>
              <w:t>袋装</w:t>
            </w:r>
          </w:p>
        </w:tc>
        <w:tc>
          <w:tcPr>
            <w:tcW w:w="812" w:type="dxa"/>
            <w:tcBorders>
              <w:tl2br w:val="nil"/>
              <w:tr2bl w:val="nil"/>
            </w:tcBorders>
            <w:vAlign w:val="center"/>
          </w:tcPr>
          <w:p>
            <w:pPr>
              <w:adjustRightInd w:val="0"/>
              <w:snapToGrid w:val="0"/>
              <w:jc w:val="center"/>
              <w:rPr>
                <w:szCs w:val="21"/>
              </w:rP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100kg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6</w:t>
            </w:r>
          </w:p>
        </w:tc>
        <w:tc>
          <w:tcPr>
            <w:tcW w:w="2250" w:type="dxa"/>
            <w:tcBorders>
              <w:tl2br w:val="nil"/>
              <w:tr2bl w:val="nil"/>
            </w:tcBorders>
            <w:vAlign w:val="center"/>
          </w:tcPr>
          <w:p>
            <w:pPr>
              <w:widowControl/>
              <w:snapToGrid w:val="0"/>
              <w:jc w:val="center"/>
              <w:rPr>
                <w:b/>
                <w:szCs w:val="21"/>
              </w:rPr>
            </w:pPr>
            <w:r>
              <w:rPr>
                <w:szCs w:val="21"/>
              </w:rPr>
              <w:t>盐酸</w:t>
            </w:r>
            <w:r>
              <w:rPr>
                <w:rFonts w:hint="eastAsia"/>
                <w:szCs w:val="21"/>
              </w:rPr>
              <w:t>（浓度为30%）</w:t>
            </w:r>
          </w:p>
        </w:tc>
        <w:tc>
          <w:tcPr>
            <w:tcW w:w="998" w:type="dxa"/>
            <w:tcBorders>
              <w:tl2br w:val="nil"/>
              <w:tr2bl w:val="nil"/>
            </w:tcBorders>
            <w:vAlign w:val="center"/>
          </w:tcPr>
          <w:p>
            <w:pPr>
              <w:autoSpaceDE w:val="0"/>
              <w:autoSpaceDN w:val="0"/>
              <w:adjustRightInd w:val="0"/>
              <w:snapToGrid w:val="0"/>
              <w:jc w:val="center"/>
              <w:rPr>
                <w:szCs w:val="21"/>
              </w:rPr>
            </w:pPr>
            <w:r>
              <w:rPr>
                <w:szCs w:val="21"/>
              </w:rPr>
              <w:t>t/a</w:t>
            </w:r>
          </w:p>
        </w:tc>
        <w:tc>
          <w:tcPr>
            <w:tcW w:w="998" w:type="dxa"/>
            <w:tcBorders>
              <w:tl2br w:val="nil"/>
              <w:tr2bl w:val="nil"/>
            </w:tcBorders>
            <w:vAlign w:val="center"/>
          </w:tcPr>
          <w:p>
            <w:pPr>
              <w:snapToGrid w:val="0"/>
              <w:jc w:val="center"/>
            </w:pPr>
            <w:r>
              <w:t>36</w:t>
            </w:r>
          </w:p>
        </w:tc>
        <w:tc>
          <w:tcPr>
            <w:tcW w:w="1269" w:type="dxa"/>
            <w:tcBorders>
              <w:tl2br w:val="nil"/>
              <w:tr2bl w:val="nil"/>
            </w:tcBorders>
            <w:vAlign w:val="center"/>
          </w:tcPr>
          <w:p>
            <w:pPr>
              <w:adjustRightInd w:val="0"/>
              <w:snapToGrid w:val="0"/>
              <w:jc w:val="center"/>
              <w:rPr>
                <w:szCs w:val="21"/>
              </w:rPr>
            </w:pPr>
            <w:r>
              <w:rPr>
                <w:szCs w:val="21"/>
              </w:rPr>
              <w:t>罐装</w:t>
            </w:r>
          </w:p>
        </w:tc>
        <w:tc>
          <w:tcPr>
            <w:tcW w:w="812" w:type="dxa"/>
            <w:tcBorders>
              <w:tl2br w:val="nil"/>
              <w:tr2bl w:val="nil"/>
            </w:tcBorders>
            <w:vAlign w:val="center"/>
          </w:tcPr>
          <w:p>
            <w:pPr>
              <w:adjustRightInd w:val="0"/>
              <w:snapToGrid w:val="0"/>
              <w:jc w:val="center"/>
              <w:rPr>
                <w:szCs w:val="21"/>
              </w:rPr>
            </w:pPr>
            <w:r>
              <w:rPr>
                <w:szCs w:val="21"/>
              </w:rPr>
              <w:t>罐区</w:t>
            </w:r>
          </w:p>
        </w:tc>
        <w:tc>
          <w:tcPr>
            <w:tcW w:w="1236" w:type="dxa"/>
            <w:tcBorders>
              <w:tl2br w:val="nil"/>
              <w:tr2bl w:val="nil"/>
            </w:tcBorders>
            <w:vAlign w:val="center"/>
          </w:tcPr>
          <w:p>
            <w:pPr>
              <w:adjustRightInd w:val="0"/>
              <w:snapToGrid w:val="0"/>
              <w:jc w:val="center"/>
              <w:rPr>
                <w:szCs w:val="21"/>
              </w:rPr>
            </w:pPr>
            <w:r>
              <w:rPr>
                <w:szCs w:val="21"/>
              </w:rPr>
              <w:t>10m</w:t>
            </w:r>
            <w:r>
              <w:rPr>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7</w:t>
            </w:r>
          </w:p>
        </w:tc>
        <w:tc>
          <w:tcPr>
            <w:tcW w:w="2250" w:type="dxa"/>
            <w:tcBorders>
              <w:tl2br w:val="nil"/>
              <w:tr2bl w:val="nil"/>
            </w:tcBorders>
            <w:vAlign w:val="center"/>
          </w:tcPr>
          <w:p>
            <w:pPr>
              <w:widowControl/>
              <w:snapToGrid w:val="0"/>
              <w:jc w:val="center"/>
              <w:rPr>
                <w:szCs w:val="21"/>
              </w:rPr>
            </w:pPr>
            <w:r>
              <w:rPr>
                <w:szCs w:val="21"/>
              </w:rPr>
              <w:t>杀菌剂</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pPr>
            <w:r>
              <w:t>31.68</w:t>
            </w:r>
          </w:p>
        </w:tc>
        <w:tc>
          <w:tcPr>
            <w:tcW w:w="1269" w:type="dxa"/>
            <w:tcBorders>
              <w:tl2br w:val="nil"/>
              <w:tr2bl w:val="nil"/>
            </w:tcBorders>
            <w:vAlign w:val="center"/>
          </w:tcPr>
          <w:p>
            <w:pPr>
              <w:adjustRightInd w:val="0"/>
              <w:snapToGrid w:val="0"/>
              <w:jc w:val="center"/>
              <w:rPr>
                <w:szCs w:val="21"/>
              </w:rPr>
            </w:pPr>
            <w:r>
              <w:rPr>
                <w:szCs w:val="21"/>
              </w:rPr>
              <w:t>罐装</w:t>
            </w:r>
          </w:p>
        </w:tc>
        <w:tc>
          <w:tcPr>
            <w:tcW w:w="812" w:type="dxa"/>
            <w:tcBorders>
              <w:tl2br w:val="nil"/>
              <w:tr2bl w:val="nil"/>
            </w:tcBorders>
            <w:vAlign w:val="center"/>
          </w:tcPr>
          <w:p>
            <w:pPr>
              <w:snapToGrid w:val="0"/>
              <w:jc w:val="cente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1m</w:t>
            </w:r>
            <w:r>
              <w:rPr>
                <w:szCs w:val="21"/>
                <w:vertAlign w:val="superscript"/>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8</w:t>
            </w:r>
          </w:p>
        </w:tc>
        <w:tc>
          <w:tcPr>
            <w:tcW w:w="2250" w:type="dxa"/>
            <w:tcBorders>
              <w:tl2br w:val="nil"/>
              <w:tr2bl w:val="nil"/>
            </w:tcBorders>
            <w:vAlign w:val="center"/>
          </w:tcPr>
          <w:p>
            <w:pPr>
              <w:snapToGrid w:val="0"/>
              <w:jc w:val="center"/>
              <w:rPr>
                <w:szCs w:val="21"/>
              </w:rPr>
            </w:pPr>
            <w:r>
              <w:rPr>
                <w:szCs w:val="21"/>
              </w:rPr>
              <w:t>碳酸钠</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2"/>
                <w:szCs w:val="22"/>
              </w:rPr>
            </w:pPr>
            <w:r>
              <w:rPr>
                <w:sz w:val="22"/>
                <w:szCs w:val="22"/>
              </w:rPr>
              <w:t>3.96</w:t>
            </w:r>
          </w:p>
        </w:tc>
        <w:tc>
          <w:tcPr>
            <w:tcW w:w="1269" w:type="dxa"/>
            <w:tcBorders>
              <w:tl2br w:val="nil"/>
              <w:tr2bl w:val="nil"/>
            </w:tcBorders>
            <w:vAlign w:val="center"/>
          </w:tcPr>
          <w:p>
            <w:pPr>
              <w:adjustRightInd w:val="0"/>
              <w:snapToGrid w:val="0"/>
              <w:jc w:val="center"/>
              <w:rPr>
                <w:szCs w:val="21"/>
              </w:rPr>
            </w:pPr>
            <w:r>
              <w:rPr>
                <w:szCs w:val="21"/>
              </w:rPr>
              <w:t>袋装</w:t>
            </w:r>
          </w:p>
        </w:tc>
        <w:tc>
          <w:tcPr>
            <w:tcW w:w="812" w:type="dxa"/>
            <w:tcBorders>
              <w:tl2br w:val="nil"/>
              <w:tr2bl w:val="nil"/>
            </w:tcBorders>
            <w:vAlign w:val="center"/>
          </w:tcPr>
          <w:p>
            <w:pPr>
              <w:snapToGrid w:val="0"/>
              <w:jc w:val="cente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val="en-US" w:eastAsia="zh-CN"/>
              </w:rPr>
              <w:t>9</w:t>
            </w:r>
          </w:p>
        </w:tc>
        <w:tc>
          <w:tcPr>
            <w:tcW w:w="2250" w:type="dxa"/>
            <w:tcBorders>
              <w:tl2br w:val="nil"/>
              <w:tr2bl w:val="nil"/>
            </w:tcBorders>
            <w:vAlign w:val="center"/>
          </w:tcPr>
          <w:p>
            <w:pPr>
              <w:snapToGrid w:val="0"/>
              <w:jc w:val="center"/>
              <w:rPr>
                <w:szCs w:val="21"/>
              </w:rPr>
            </w:pPr>
            <w:r>
              <w:rPr>
                <w:szCs w:val="21"/>
              </w:rPr>
              <w:t>阻垢剂</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2"/>
                <w:szCs w:val="22"/>
              </w:rPr>
            </w:pPr>
            <w:r>
              <w:rPr>
                <w:sz w:val="22"/>
                <w:szCs w:val="22"/>
              </w:rPr>
              <w:t>3.6</w:t>
            </w:r>
          </w:p>
        </w:tc>
        <w:tc>
          <w:tcPr>
            <w:tcW w:w="1269" w:type="dxa"/>
            <w:tcBorders>
              <w:tl2br w:val="nil"/>
              <w:tr2bl w:val="nil"/>
            </w:tcBorders>
            <w:vAlign w:val="center"/>
          </w:tcPr>
          <w:p>
            <w:pPr>
              <w:adjustRightInd w:val="0"/>
              <w:snapToGrid w:val="0"/>
              <w:jc w:val="center"/>
              <w:rPr>
                <w:szCs w:val="21"/>
              </w:rPr>
            </w:pPr>
            <w:r>
              <w:rPr>
                <w:szCs w:val="21"/>
              </w:rPr>
              <w:t>桶装</w:t>
            </w:r>
          </w:p>
        </w:tc>
        <w:tc>
          <w:tcPr>
            <w:tcW w:w="812" w:type="dxa"/>
            <w:tcBorders>
              <w:tl2br w:val="nil"/>
              <w:tr2bl w:val="nil"/>
            </w:tcBorders>
            <w:vAlign w:val="center"/>
          </w:tcPr>
          <w:p>
            <w:pPr>
              <w:snapToGrid w:val="0"/>
              <w:jc w:val="cente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500kg</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65" w:type="dxa"/>
            <w:tcBorders>
              <w:tl2br w:val="nil"/>
              <w:tr2bl w:val="nil"/>
            </w:tcBorders>
            <w:vAlign w:val="center"/>
          </w:tcPr>
          <w:p>
            <w:pPr>
              <w:adjustRightInd w:val="0"/>
              <w:snapToGrid w:val="0"/>
              <w:jc w:val="center"/>
              <w:rPr>
                <w:rFonts w:hint="eastAsia" w:eastAsia="宋体"/>
                <w:szCs w:val="21"/>
                <w:lang w:eastAsia="zh-CN"/>
              </w:rPr>
            </w:pPr>
            <w:r>
              <w:rPr>
                <w:szCs w:val="21"/>
              </w:rPr>
              <w:t>1</w:t>
            </w:r>
            <w:r>
              <w:rPr>
                <w:rFonts w:hint="eastAsia"/>
                <w:szCs w:val="21"/>
                <w:lang w:val="en-US" w:eastAsia="zh-CN"/>
              </w:rPr>
              <w:t>0</w:t>
            </w:r>
          </w:p>
        </w:tc>
        <w:tc>
          <w:tcPr>
            <w:tcW w:w="2250" w:type="dxa"/>
            <w:tcBorders>
              <w:tl2br w:val="nil"/>
              <w:tr2bl w:val="nil"/>
            </w:tcBorders>
            <w:vAlign w:val="center"/>
          </w:tcPr>
          <w:p>
            <w:pPr>
              <w:snapToGrid w:val="0"/>
              <w:jc w:val="center"/>
              <w:rPr>
                <w:szCs w:val="21"/>
              </w:rPr>
            </w:pPr>
            <w:r>
              <w:rPr>
                <w:szCs w:val="21"/>
              </w:rPr>
              <w:t>非氧化杀菌剂</w:t>
            </w:r>
          </w:p>
        </w:tc>
        <w:tc>
          <w:tcPr>
            <w:tcW w:w="998" w:type="dxa"/>
            <w:tcBorders>
              <w:tl2br w:val="nil"/>
              <w:tr2bl w:val="nil"/>
            </w:tcBorders>
            <w:vAlign w:val="center"/>
          </w:tcPr>
          <w:p>
            <w:pPr>
              <w:adjustRightInd w:val="0"/>
              <w:snapToGrid w:val="0"/>
              <w:jc w:val="center"/>
              <w:rPr>
                <w:szCs w:val="21"/>
              </w:rPr>
            </w:pPr>
            <w:r>
              <w:rPr>
                <w:szCs w:val="21"/>
              </w:rPr>
              <w:t>t/a</w:t>
            </w:r>
          </w:p>
        </w:tc>
        <w:tc>
          <w:tcPr>
            <w:tcW w:w="998" w:type="dxa"/>
            <w:tcBorders>
              <w:tl2br w:val="nil"/>
              <w:tr2bl w:val="nil"/>
            </w:tcBorders>
            <w:vAlign w:val="center"/>
          </w:tcPr>
          <w:p>
            <w:pPr>
              <w:snapToGrid w:val="0"/>
              <w:jc w:val="center"/>
              <w:rPr>
                <w:sz w:val="22"/>
                <w:szCs w:val="22"/>
              </w:rPr>
            </w:pPr>
            <w:r>
              <w:rPr>
                <w:sz w:val="22"/>
                <w:szCs w:val="22"/>
              </w:rPr>
              <w:t>36</w:t>
            </w:r>
          </w:p>
        </w:tc>
        <w:tc>
          <w:tcPr>
            <w:tcW w:w="1269" w:type="dxa"/>
            <w:tcBorders>
              <w:tl2br w:val="nil"/>
              <w:tr2bl w:val="nil"/>
            </w:tcBorders>
            <w:vAlign w:val="center"/>
          </w:tcPr>
          <w:p>
            <w:pPr>
              <w:adjustRightInd w:val="0"/>
              <w:snapToGrid w:val="0"/>
              <w:jc w:val="center"/>
              <w:rPr>
                <w:szCs w:val="21"/>
              </w:rPr>
            </w:pPr>
            <w:r>
              <w:rPr>
                <w:szCs w:val="21"/>
              </w:rPr>
              <w:t>桶装</w:t>
            </w:r>
          </w:p>
        </w:tc>
        <w:tc>
          <w:tcPr>
            <w:tcW w:w="812" w:type="dxa"/>
            <w:tcBorders>
              <w:tl2br w:val="nil"/>
              <w:tr2bl w:val="nil"/>
            </w:tcBorders>
            <w:vAlign w:val="center"/>
          </w:tcPr>
          <w:p>
            <w:pPr>
              <w:snapToGrid w:val="0"/>
              <w:jc w:val="center"/>
            </w:pPr>
            <w:r>
              <w:rPr>
                <w:szCs w:val="21"/>
              </w:rPr>
              <w:t>贮存间</w:t>
            </w:r>
          </w:p>
        </w:tc>
        <w:tc>
          <w:tcPr>
            <w:tcW w:w="1236" w:type="dxa"/>
            <w:tcBorders>
              <w:tl2br w:val="nil"/>
              <w:tr2bl w:val="nil"/>
            </w:tcBorders>
            <w:vAlign w:val="center"/>
          </w:tcPr>
          <w:p>
            <w:pPr>
              <w:adjustRightInd w:val="0"/>
              <w:snapToGrid w:val="0"/>
              <w:jc w:val="center"/>
              <w:rPr>
                <w:szCs w:val="21"/>
              </w:rPr>
            </w:pPr>
            <w:r>
              <w:rPr>
                <w:szCs w:val="21"/>
              </w:rPr>
              <w:t>500kg</w:t>
            </w:r>
          </w:p>
        </w:tc>
      </w:tr>
    </w:tbl>
    <w:p/>
    <w:p>
      <w:pPr>
        <w:pStyle w:val="5"/>
        <w:rPr>
          <w:rFonts w:hint="eastAsia" w:ascii="Times New Roman" w:hAnsi="Times New Roman" w:eastAsia="宋体" w:cs="Times New Roman"/>
          <w:szCs w:val="28"/>
          <w:lang w:eastAsia="zh-CN"/>
        </w:rPr>
      </w:pPr>
      <w:bookmarkStart w:id="34" w:name="_Toc17592"/>
      <w:r>
        <w:rPr>
          <w:rFonts w:ascii="Times New Roman" w:hAnsi="Times New Roman" w:cs="Times New Roman"/>
          <w:sz w:val="24"/>
          <w:szCs w:val="24"/>
        </w:rPr>
        <w:t>3.4</w:t>
      </w:r>
      <w:bookmarkEnd w:id="33"/>
      <w:bookmarkEnd w:id="34"/>
      <w:r>
        <w:rPr>
          <w:rFonts w:hint="eastAsia" w:ascii="Times New Roman" w:hAnsi="Times New Roman" w:cs="Times New Roman"/>
          <w:sz w:val="24"/>
          <w:szCs w:val="24"/>
          <w:lang w:eastAsia="zh-CN"/>
        </w:rPr>
        <w:t>设备清单</w:t>
      </w:r>
    </w:p>
    <w:p>
      <w:pPr>
        <w:pStyle w:val="10"/>
        <w:spacing w:after="0" w:line="360" w:lineRule="auto"/>
        <w:ind w:firstLine="480" w:firstLineChars="200"/>
        <w:rPr>
          <w:rFonts w:hint="eastAsia"/>
          <w:sz w:val="24"/>
        </w:rPr>
      </w:pPr>
      <w:r>
        <w:rPr>
          <w:sz w:val="24"/>
        </w:rPr>
        <w:t>项目主要设备清单见表3.</w:t>
      </w:r>
      <w:r>
        <w:rPr>
          <w:rFonts w:hint="eastAsia"/>
          <w:sz w:val="24"/>
          <w:lang w:val="en-US" w:eastAsia="zh-CN"/>
        </w:rPr>
        <w:t>4</w:t>
      </w:r>
      <w:r>
        <w:rPr>
          <w:sz w:val="24"/>
        </w:rPr>
        <w:t>-</w:t>
      </w:r>
      <w:r>
        <w:rPr>
          <w:rFonts w:hint="eastAsia"/>
          <w:sz w:val="24"/>
          <w:lang w:val="en-US" w:eastAsia="zh-CN"/>
        </w:rPr>
        <w:t>1</w:t>
      </w:r>
      <w:r>
        <w:rPr>
          <w:sz w:val="24"/>
        </w:rPr>
        <w:t>。</w:t>
      </w:r>
    </w:p>
    <w:p>
      <w:pPr>
        <w:snapToGrid w:val="0"/>
        <w:ind w:firstLine="480" w:firstLineChars="200"/>
        <w:jc w:val="center"/>
        <w:rPr>
          <w:rFonts w:eastAsia="黑体"/>
          <w:sz w:val="24"/>
        </w:rPr>
      </w:pPr>
      <w:r>
        <w:rPr>
          <w:rFonts w:eastAsia="黑体"/>
          <w:sz w:val="24"/>
        </w:rPr>
        <w:t>表3.</w:t>
      </w:r>
      <w:r>
        <w:rPr>
          <w:rFonts w:hint="eastAsia" w:eastAsia="黑体"/>
          <w:sz w:val="24"/>
          <w:lang w:val="en-US" w:eastAsia="zh-CN"/>
        </w:rPr>
        <w:t>4</w:t>
      </w:r>
      <w:r>
        <w:rPr>
          <w:rFonts w:eastAsia="黑体"/>
          <w:sz w:val="24"/>
        </w:rPr>
        <w:t>-</w:t>
      </w:r>
      <w:r>
        <w:rPr>
          <w:rFonts w:hint="eastAsia" w:eastAsia="黑体"/>
          <w:sz w:val="24"/>
          <w:lang w:val="en-US" w:eastAsia="zh-CN"/>
        </w:rPr>
        <w:t>1</w:t>
      </w:r>
      <w:r>
        <w:rPr>
          <w:rFonts w:eastAsia="黑体"/>
          <w:sz w:val="24"/>
        </w:rPr>
        <w:t xml:space="preserve">        项目设置主要设备清单      </w:t>
      </w:r>
    </w:p>
    <w:tbl>
      <w:tblPr>
        <w:tblStyle w:val="27"/>
        <w:tblW w:w="8529" w:type="dxa"/>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4706"/>
        <w:gridCol w:w="1099"/>
        <w:gridCol w:w="1092"/>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trPr>
        <w:tc>
          <w:tcPr>
            <w:tcW w:w="1632" w:type="dxa"/>
            <w:vMerge w:val="restart"/>
            <w:tcBorders>
              <w:tl2br w:val="nil"/>
              <w:tr2bl w:val="nil"/>
            </w:tcBorders>
            <w:vAlign w:val="center"/>
          </w:tcPr>
          <w:p>
            <w:pPr>
              <w:widowControl/>
              <w:snapToGrid w:val="0"/>
              <w:jc w:val="center"/>
              <w:rPr>
                <w:b/>
                <w:szCs w:val="21"/>
              </w:rPr>
            </w:pPr>
            <w:r>
              <w:rPr>
                <w:b/>
                <w:szCs w:val="21"/>
              </w:rPr>
              <w:t>序</w:t>
            </w:r>
            <w:r>
              <w:rPr>
                <w:rFonts w:hint="eastAsia"/>
                <w:b/>
                <w:szCs w:val="21"/>
              </w:rPr>
              <w:t xml:space="preserve">    </w:t>
            </w:r>
            <w:r>
              <w:rPr>
                <w:b/>
                <w:szCs w:val="21"/>
              </w:rPr>
              <w:t>号</w:t>
            </w:r>
          </w:p>
        </w:tc>
        <w:tc>
          <w:tcPr>
            <w:tcW w:w="4706" w:type="dxa"/>
            <w:vMerge w:val="restart"/>
            <w:tcBorders>
              <w:tl2br w:val="nil"/>
              <w:tr2bl w:val="nil"/>
            </w:tcBorders>
            <w:vAlign w:val="center"/>
          </w:tcPr>
          <w:p>
            <w:pPr>
              <w:widowControl/>
              <w:snapToGrid w:val="0"/>
              <w:jc w:val="center"/>
              <w:rPr>
                <w:b/>
                <w:szCs w:val="21"/>
              </w:rPr>
            </w:pPr>
            <w:r>
              <w:rPr>
                <w:b/>
                <w:szCs w:val="21"/>
              </w:rPr>
              <w:t>用电设备名称</w:t>
            </w:r>
          </w:p>
        </w:tc>
        <w:tc>
          <w:tcPr>
            <w:tcW w:w="1099" w:type="dxa"/>
            <w:vMerge w:val="restart"/>
            <w:tcBorders>
              <w:tl2br w:val="nil"/>
              <w:tr2bl w:val="nil"/>
            </w:tcBorders>
            <w:vAlign w:val="center"/>
          </w:tcPr>
          <w:p>
            <w:pPr>
              <w:widowControl/>
              <w:snapToGrid w:val="0"/>
              <w:jc w:val="center"/>
              <w:rPr>
                <w:b/>
                <w:szCs w:val="21"/>
              </w:rPr>
            </w:pPr>
            <w:r>
              <w:rPr>
                <w:b/>
                <w:szCs w:val="21"/>
              </w:rPr>
              <w:t>安装台数</w:t>
            </w:r>
          </w:p>
        </w:tc>
        <w:tc>
          <w:tcPr>
            <w:tcW w:w="1092" w:type="dxa"/>
            <w:vMerge w:val="restart"/>
            <w:tcBorders>
              <w:tl2br w:val="nil"/>
              <w:tr2bl w:val="nil"/>
            </w:tcBorders>
            <w:vAlign w:val="center"/>
          </w:tcPr>
          <w:p>
            <w:pPr>
              <w:widowControl/>
              <w:snapToGrid w:val="0"/>
              <w:jc w:val="center"/>
              <w:rPr>
                <w:b/>
                <w:szCs w:val="21"/>
              </w:rPr>
            </w:pPr>
            <w:r>
              <w:rPr>
                <w:b/>
                <w:szCs w:val="21"/>
              </w:rPr>
              <w:t>工作台数</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trPr>
        <w:tc>
          <w:tcPr>
            <w:tcW w:w="1632" w:type="dxa"/>
            <w:vMerge w:val="continue"/>
            <w:tcBorders>
              <w:tl2br w:val="nil"/>
              <w:tr2bl w:val="nil"/>
            </w:tcBorders>
            <w:vAlign w:val="center"/>
          </w:tcPr>
          <w:p>
            <w:pPr>
              <w:widowControl/>
              <w:snapToGrid w:val="0"/>
              <w:jc w:val="center"/>
              <w:rPr>
                <w:b/>
                <w:szCs w:val="21"/>
              </w:rPr>
            </w:pPr>
          </w:p>
        </w:tc>
        <w:tc>
          <w:tcPr>
            <w:tcW w:w="4706" w:type="dxa"/>
            <w:vMerge w:val="continue"/>
            <w:tcBorders>
              <w:tl2br w:val="nil"/>
              <w:tr2bl w:val="nil"/>
            </w:tcBorders>
            <w:vAlign w:val="center"/>
          </w:tcPr>
          <w:p>
            <w:pPr>
              <w:widowControl/>
              <w:snapToGrid w:val="0"/>
              <w:jc w:val="center"/>
              <w:rPr>
                <w:b/>
                <w:szCs w:val="21"/>
              </w:rPr>
            </w:pPr>
          </w:p>
        </w:tc>
        <w:tc>
          <w:tcPr>
            <w:tcW w:w="1099" w:type="dxa"/>
            <w:vMerge w:val="continue"/>
            <w:tcBorders>
              <w:tl2br w:val="nil"/>
              <w:tr2bl w:val="nil"/>
            </w:tcBorders>
            <w:vAlign w:val="center"/>
          </w:tcPr>
          <w:p>
            <w:pPr>
              <w:widowControl/>
              <w:snapToGrid w:val="0"/>
              <w:jc w:val="center"/>
              <w:rPr>
                <w:b/>
                <w:szCs w:val="21"/>
              </w:rPr>
            </w:pPr>
          </w:p>
        </w:tc>
        <w:tc>
          <w:tcPr>
            <w:tcW w:w="1092" w:type="dxa"/>
            <w:vMerge w:val="continue"/>
            <w:tcBorders>
              <w:tl2br w:val="nil"/>
              <w:tr2bl w:val="nil"/>
            </w:tcBorders>
            <w:vAlign w:val="center"/>
          </w:tcPr>
          <w:p>
            <w:pPr>
              <w:widowControl/>
              <w:snapToGrid w:val="0"/>
              <w:jc w:val="center"/>
              <w:rPr>
                <w:b/>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trPr>
        <w:tc>
          <w:tcPr>
            <w:tcW w:w="6338" w:type="dxa"/>
            <w:gridSpan w:val="2"/>
            <w:tcBorders>
              <w:tl2br w:val="nil"/>
              <w:tr2bl w:val="nil"/>
            </w:tcBorders>
            <w:vAlign w:val="center"/>
          </w:tcPr>
          <w:p>
            <w:pPr>
              <w:widowControl/>
              <w:snapToGrid w:val="0"/>
              <w:jc w:val="center"/>
              <w:rPr>
                <w:b/>
                <w:bCs/>
                <w:szCs w:val="21"/>
              </w:rPr>
            </w:pPr>
            <w:r>
              <w:rPr>
                <w:b/>
                <w:bCs/>
                <w:szCs w:val="21"/>
              </w:rPr>
              <w:t>废水处理系统</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一</w:t>
            </w:r>
          </w:p>
        </w:tc>
        <w:tc>
          <w:tcPr>
            <w:tcW w:w="4706" w:type="dxa"/>
            <w:tcBorders>
              <w:tl2br w:val="nil"/>
              <w:tr2bl w:val="nil"/>
            </w:tcBorders>
            <w:vAlign w:val="center"/>
          </w:tcPr>
          <w:p>
            <w:pPr>
              <w:widowControl/>
              <w:snapToGrid w:val="0"/>
              <w:jc w:val="center"/>
              <w:rPr>
                <w:szCs w:val="21"/>
              </w:rPr>
            </w:pPr>
            <w:r>
              <w:rPr>
                <w:szCs w:val="21"/>
              </w:rPr>
              <w:t>综合废水处理池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p>
        </w:tc>
        <w:tc>
          <w:tcPr>
            <w:tcW w:w="4706" w:type="dxa"/>
            <w:tcBorders>
              <w:tl2br w:val="nil"/>
              <w:tr2bl w:val="nil"/>
            </w:tcBorders>
            <w:vAlign w:val="center"/>
          </w:tcPr>
          <w:p>
            <w:pPr>
              <w:widowControl/>
              <w:snapToGrid w:val="0"/>
              <w:jc w:val="center"/>
              <w:rPr>
                <w:szCs w:val="21"/>
              </w:rPr>
            </w:pPr>
            <w:r>
              <w:rPr>
                <w:szCs w:val="21"/>
              </w:rPr>
              <w:t>综合废水提升泵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二</w:t>
            </w:r>
          </w:p>
        </w:tc>
        <w:tc>
          <w:tcPr>
            <w:tcW w:w="4706" w:type="dxa"/>
            <w:tcBorders>
              <w:tl2br w:val="nil"/>
              <w:tr2bl w:val="nil"/>
            </w:tcBorders>
            <w:vAlign w:val="center"/>
          </w:tcPr>
          <w:p>
            <w:pPr>
              <w:widowControl/>
              <w:snapToGrid w:val="0"/>
              <w:jc w:val="center"/>
              <w:rPr>
                <w:szCs w:val="21"/>
              </w:rPr>
            </w:pPr>
            <w:r>
              <w:rPr>
                <w:szCs w:val="21"/>
              </w:rPr>
              <w:t>除钙池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快速混合搅拌器</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絮凝反映搅拌器</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高效浓缩刮泥机</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5</w:t>
            </w:r>
          </w:p>
        </w:tc>
        <w:tc>
          <w:tcPr>
            <w:tcW w:w="4706" w:type="dxa"/>
            <w:tcBorders>
              <w:tl2br w:val="nil"/>
              <w:tr2bl w:val="nil"/>
            </w:tcBorders>
            <w:vAlign w:val="center"/>
          </w:tcPr>
          <w:p>
            <w:pPr>
              <w:widowControl/>
              <w:snapToGrid w:val="0"/>
              <w:jc w:val="center"/>
              <w:rPr>
                <w:szCs w:val="21"/>
              </w:rPr>
            </w:pPr>
            <w:r>
              <w:rPr>
                <w:szCs w:val="21"/>
              </w:rPr>
              <w:t>回流污泥螺杆泵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6</w:t>
            </w:r>
          </w:p>
        </w:tc>
        <w:tc>
          <w:tcPr>
            <w:tcW w:w="4706" w:type="dxa"/>
            <w:tcBorders>
              <w:tl2br w:val="nil"/>
              <w:tr2bl w:val="nil"/>
            </w:tcBorders>
            <w:vAlign w:val="center"/>
          </w:tcPr>
          <w:p>
            <w:pPr>
              <w:widowControl/>
              <w:snapToGrid w:val="0"/>
              <w:jc w:val="center"/>
              <w:rPr>
                <w:szCs w:val="21"/>
              </w:rPr>
            </w:pPr>
            <w:r>
              <w:rPr>
                <w:szCs w:val="21"/>
              </w:rPr>
              <w:t>剩余污泥螺杆泵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shd w:val="clear" w:color="auto" w:fill="auto"/>
            <w:vAlign w:val="center"/>
          </w:tcPr>
          <w:p>
            <w:pPr>
              <w:widowControl/>
              <w:snapToGrid w:val="0"/>
              <w:jc w:val="center"/>
              <w:rPr>
                <w:szCs w:val="21"/>
              </w:rPr>
            </w:pPr>
            <w:r>
              <w:rPr>
                <w:szCs w:val="21"/>
              </w:rPr>
              <w:t>三</w:t>
            </w:r>
          </w:p>
        </w:tc>
        <w:tc>
          <w:tcPr>
            <w:tcW w:w="4706" w:type="dxa"/>
            <w:tcBorders>
              <w:tl2br w:val="nil"/>
              <w:tr2bl w:val="nil"/>
            </w:tcBorders>
            <w:shd w:val="clear" w:color="auto" w:fill="FFFFFF"/>
            <w:vAlign w:val="center"/>
          </w:tcPr>
          <w:p>
            <w:pPr>
              <w:widowControl/>
              <w:snapToGrid w:val="0"/>
              <w:jc w:val="center"/>
              <w:rPr>
                <w:szCs w:val="21"/>
              </w:rPr>
            </w:pPr>
            <w:r>
              <w:rPr>
                <w:szCs w:val="21"/>
              </w:rPr>
              <w:t>双醋废水调节池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四</w:t>
            </w:r>
          </w:p>
        </w:tc>
        <w:tc>
          <w:tcPr>
            <w:tcW w:w="4706" w:type="dxa"/>
            <w:tcBorders>
              <w:tl2br w:val="nil"/>
              <w:tr2bl w:val="nil"/>
            </w:tcBorders>
            <w:vAlign w:val="center"/>
          </w:tcPr>
          <w:p>
            <w:pPr>
              <w:widowControl/>
              <w:snapToGrid w:val="0"/>
              <w:jc w:val="center"/>
              <w:rPr>
                <w:szCs w:val="21"/>
              </w:rPr>
            </w:pPr>
            <w:r>
              <w:rPr>
                <w:szCs w:val="21"/>
              </w:rPr>
              <w:t>中间缓冲水池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SBR池进水泵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潜污泵</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五</w:t>
            </w:r>
          </w:p>
        </w:tc>
        <w:tc>
          <w:tcPr>
            <w:tcW w:w="4706" w:type="dxa"/>
            <w:tcBorders>
              <w:tl2br w:val="nil"/>
              <w:tr2bl w:val="nil"/>
            </w:tcBorders>
            <w:vAlign w:val="center"/>
          </w:tcPr>
          <w:p>
            <w:pPr>
              <w:widowControl/>
              <w:snapToGrid w:val="0"/>
              <w:jc w:val="center"/>
              <w:rPr>
                <w:szCs w:val="21"/>
              </w:rPr>
            </w:pPr>
            <w:r>
              <w:rPr>
                <w:szCs w:val="21"/>
              </w:rPr>
              <w:t>SBR池（分四格）</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旋转式滗水器</w:t>
            </w:r>
          </w:p>
        </w:tc>
        <w:tc>
          <w:tcPr>
            <w:tcW w:w="1099" w:type="dxa"/>
            <w:tcBorders>
              <w:tl2br w:val="nil"/>
              <w:tr2bl w:val="nil"/>
            </w:tcBorders>
            <w:vAlign w:val="center"/>
          </w:tcPr>
          <w:p>
            <w:pPr>
              <w:widowControl/>
              <w:snapToGrid w:val="0"/>
              <w:jc w:val="center"/>
              <w:rPr>
                <w:szCs w:val="21"/>
              </w:rPr>
            </w:pPr>
            <w:r>
              <w:rPr>
                <w:szCs w:val="21"/>
              </w:rPr>
              <w:t>4</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循环泵</w:t>
            </w:r>
          </w:p>
        </w:tc>
        <w:tc>
          <w:tcPr>
            <w:tcW w:w="1099" w:type="dxa"/>
            <w:tcBorders>
              <w:tl2br w:val="nil"/>
              <w:tr2bl w:val="nil"/>
            </w:tcBorders>
            <w:vAlign w:val="center"/>
          </w:tcPr>
          <w:p>
            <w:pPr>
              <w:widowControl/>
              <w:snapToGrid w:val="0"/>
              <w:jc w:val="center"/>
              <w:rPr>
                <w:szCs w:val="21"/>
              </w:rPr>
            </w:pPr>
            <w:r>
              <w:rPr>
                <w:szCs w:val="21"/>
              </w:rPr>
              <w:t>32</w:t>
            </w:r>
          </w:p>
        </w:tc>
        <w:tc>
          <w:tcPr>
            <w:tcW w:w="1092" w:type="dxa"/>
            <w:tcBorders>
              <w:tl2br w:val="nil"/>
              <w:tr2bl w:val="nil"/>
            </w:tcBorders>
            <w:vAlign w:val="center"/>
          </w:tcPr>
          <w:p>
            <w:pPr>
              <w:widowControl/>
              <w:snapToGrid w:val="0"/>
              <w:jc w:val="center"/>
              <w:rPr>
                <w:szCs w:val="21"/>
              </w:rPr>
            </w:pPr>
            <w:r>
              <w:rPr>
                <w:szCs w:val="21"/>
              </w:rPr>
              <w:t>32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剩余污泥泵</w:t>
            </w:r>
          </w:p>
        </w:tc>
        <w:tc>
          <w:tcPr>
            <w:tcW w:w="1099" w:type="dxa"/>
            <w:tcBorders>
              <w:tl2br w:val="nil"/>
              <w:tr2bl w:val="nil"/>
            </w:tcBorders>
            <w:vAlign w:val="center"/>
          </w:tcPr>
          <w:p>
            <w:pPr>
              <w:widowControl/>
              <w:snapToGrid w:val="0"/>
              <w:jc w:val="center"/>
              <w:rPr>
                <w:szCs w:val="21"/>
              </w:rPr>
            </w:pPr>
            <w:r>
              <w:rPr>
                <w:szCs w:val="21"/>
              </w:rPr>
              <w:t>4</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电动葫芦</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5</w:t>
            </w:r>
          </w:p>
        </w:tc>
        <w:tc>
          <w:tcPr>
            <w:tcW w:w="4706" w:type="dxa"/>
            <w:tcBorders>
              <w:tl2br w:val="nil"/>
              <w:tr2bl w:val="nil"/>
            </w:tcBorders>
            <w:vAlign w:val="center"/>
          </w:tcPr>
          <w:p>
            <w:pPr>
              <w:widowControl/>
              <w:snapToGrid w:val="0"/>
              <w:jc w:val="center"/>
              <w:rPr>
                <w:szCs w:val="21"/>
              </w:rPr>
            </w:pPr>
            <w:r>
              <w:rPr>
                <w:szCs w:val="21"/>
              </w:rPr>
              <w:t>潜污泵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六</w:t>
            </w:r>
          </w:p>
        </w:tc>
        <w:tc>
          <w:tcPr>
            <w:tcW w:w="4706" w:type="dxa"/>
            <w:tcBorders>
              <w:tl2br w:val="nil"/>
              <w:tr2bl w:val="nil"/>
            </w:tcBorders>
            <w:vAlign w:val="center"/>
          </w:tcPr>
          <w:p>
            <w:pPr>
              <w:widowControl/>
              <w:snapToGrid w:val="0"/>
              <w:jc w:val="center"/>
              <w:rPr>
                <w:szCs w:val="21"/>
              </w:rPr>
            </w:pPr>
            <w:r>
              <w:rPr>
                <w:szCs w:val="21"/>
              </w:rPr>
              <w:t>SBR鼓风机房</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轴流式通风机</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离心鼓风机</w:t>
            </w:r>
          </w:p>
        </w:tc>
        <w:tc>
          <w:tcPr>
            <w:tcW w:w="1099" w:type="dxa"/>
            <w:tcBorders>
              <w:tl2br w:val="nil"/>
              <w:tr2bl w:val="nil"/>
            </w:tcBorders>
            <w:vAlign w:val="center"/>
          </w:tcPr>
          <w:p>
            <w:pPr>
              <w:widowControl/>
              <w:snapToGrid w:val="0"/>
              <w:jc w:val="center"/>
              <w:rPr>
                <w:szCs w:val="21"/>
              </w:rPr>
            </w:pPr>
            <w:r>
              <w:rPr>
                <w:szCs w:val="21"/>
              </w:rPr>
              <w:t>5</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罗茨风机</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电动单梁悬挂起重机</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七</w:t>
            </w:r>
          </w:p>
        </w:tc>
        <w:tc>
          <w:tcPr>
            <w:tcW w:w="4706" w:type="dxa"/>
            <w:tcBorders>
              <w:tl2br w:val="nil"/>
              <w:tr2bl w:val="nil"/>
            </w:tcBorders>
            <w:vAlign w:val="center"/>
          </w:tcPr>
          <w:p>
            <w:pPr>
              <w:widowControl/>
              <w:snapToGrid w:val="0"/>
              <w:jc w:val="center"/>
              <w:rPr>
                <w:szCs w:val="21"/>
              </w:rPr>
            </w:pPr>
            <w:r>
              <w:rPr>
                <w:szCs w:val="21"/>
              </w:rPr>
              <w:t>加药间</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卸碱泵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高密池碱液投加泵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SBR池碱液投加泵</w:t>
            </w:r>
          </w:p>
        </w:tc>
        <w:tc>
          <w:tcPr>
            <w:tcW w:w="1099" w:type="dxa"/>
            <w:tcBorders>
              <w:tl2br w:val="nil"/>
              <w:tr2bl w:val="nil"/>
            </w:tcBorders>
            <w:vAlign w:val="center"/>
          </w:tcPr>
          <w:p>
            <w:pPr>
              <w:widowControl/>
              <w:snapToGrid w:val="0"/>
              <w:jc w:val="center"/>
              <w:rPr>
                <w:szCs w:val="21"/>
              </w:rPr>
            </w:pPr>
            <w:r>
              <w:rPr>
                <w:szCs w:val="21"/>
              </w:rPr>
              <w:t>5</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双醋废水池碱液投加泵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5</w:t>
            </w:r>
          </w:p>
        </w:tc>
        <w:tc>
          <w:tcPr>
            <w:tcW w:w="4706" w:type="dxa"/>
            <w:tcBorders>
              <w:tl2br w:val="nil"/>
              <w:tr2bl w:val="nil"/>
            </w:tcBorders>
            <w:vAlign w:val="center"/>
          </w:tcPr>
          <w:p>
            <w:pPr>
              <w:widowControl/>
              <w:snapToGrid w:val="0"/>
              <w:jc w:val="center"/>
              <w:rPr>
                <w:szCs w:val="21"/>
              </w:rPr>
            </w:pPr>
            <w:r>
              <w:rPr>
                <w:szCs w:val="21"/>
              </w:rPr>
              <w:t>轴流式通风机</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6</w:t>
            </w:r>
          </w:p>
        </w:tc>
        <w:tc>
          <w:tcPr>
            <w:tcW w:w="4706" w:type="dxa"/>
            <w:tcBorders>
              <w:tl2br w:val="nil"/>
              <w:tr2bl w:val="nil"/>
            </w:tcBorders>
            <w:vAlign w:val="center"/>
          </w:tcPr>
          <w:p>
            <w:pPr>
              <w:widowControl/>
              <w:snapToGrid w:val="0"/>
              <w:jc w:val="center"/>
              <w:rPr>
                <w:szCs w:val="21"/>
              </w:rPr>
            </w:pPr>
            <w:r>
              <w:rPr>
                <w:szCs w:val="21"/>
              </w:rPr>
              <w:t>PAM自动泡药机</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7</w:t>
            </w:r>
          </w:p>
        </w:tc>
        <w:tc>
          <w:tcPr>
            <w:tcW w:w="4706" w:type="dxa"/>
            <w:tcBorders>
              <w:tl2br w:val="nil"/>
              <w:tr2bl w:val="nil"/>
            </w:tcBorders>
            <w:vAlign w:val="center"/>
          </w:tcPr>
          <w:p>
            <w:pPr>
              <w:widowControl/>
              <w:snapToGrid w:val="0"/>
              <w:jc w:val="center"/>
              <w:rPr>
                <w:szCs w:val="21"/>
              </w:rPr>
            </w:pPr>
            <w:r>
              <w:rPr>
                <w:szCs w:val="21"/>
              </w:rPr>
              <w:t>PAM计量泵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8</w:t>
            </w:r>
          </w:p>
        </w:tc>
        <w:tc>
          <w:tcPr>
            <w:tcW w:w="4706" w:type="dxa"/>
            <w:tcBorders>
              <w:tl2br w:val="nil"/>
              <w:tr2bl w:val="nil"/>
            </w:tcBorders>
            <w:vAlign w:val="center"/>
          </w:tcPr>
          <w:p>
            <w:pPr>
              <w:widowControl/>
              <w:snapToGrid w:val="0"/>
              <w:jc w:val="center"/>
              <w:rPr>
                <w:szCs w:val="21"/>
              </w:rPr>
            </w:pPr>
            <w:r>
              <w:rPr>
                <w:szCs w:val="21"/>
              </w:rPr>
              <w:t>混凝剂溶药箱</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9</w:t>
            </w:r>
          </w:p>
        </w:tc>
        <w:tc>
          <w:tcPr>
            <w:tcW w:w="4706" w:type="dxa"/>
            <w:tcBorders>
              <w:tl2br w:val="nil"/>
              <w:tr2bl w:val="nil"/>
            </w:tcBorders>
            <w:vAlign w:val="center"/>
          </w:tcPr>
          <w:p>
            <w:pPr>
              <w:widowControl/>
              <w:snapToGrid w:val="0"/>
              <w:jc w:val="center"/>
              <w:rPr>
                <w:szCs w:val="21"/>
              </w:rPr>
            </w:pPr>
            <w:r>
              <w:rPr>
                <w:szCs w:val="21"/>
              </w:rPr>
              <w:t>混凝剂计量泵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10</w:t>
            </w:r>
          </w:p>
        </w:tc>
        <w:tc>
          <w:tcPr>
            <w:tcW w:w="4706" w:type="dxa"/>
            <w:tcBorders>
              <w:tl2br w:val="nil"/>
              <w:tr2bl w:val="nil"/>
            </w:tcBorders>
            <w:vAlign w:val="center"/>
          </w:tcPr>
          <w:p>
            <w:pPr>
              <w:widowControl/>
              <w:snapToGrid w:val="0"/>
              <w:jc w:val="center"/>
              <w:rPr>
                <w:szCs w:val="21"/>
              </w:rPr>
            </w:pPr>
            <w:r>
              <w:rPr>
                <w:szCs w:val="21"/>
              </w:rPr>
              <w:t>盐酸溶药箱</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11</w:t>
            </w:r>
          </w:p>
        </w:tc>
        <w:tc>
          <w:tcPr>
            <w:tcW w:w="4706" w:type="dxa"/>
            <w:tcBorders>
              <w:tl2br w:val="nil"/>
              <w:tr2bl w:val="nil"/>
            </w:tcBorders>
            <w:vAlign w:val="center"/>
          </w:tcPr>
          <w:p>
            <w:pPr>
              <w:widowControl/>
              <w:snapToGrid w:val="0"/>
              <w:jc w:val="center"/>
              <w:rPr>
                <w:szCs w:val="21"/>
              </w:rPr>
            </w:pPr>
            <w:r>
              <w:rPr>
                <w:szCs w:val="21"/>
              </w:rPr>
              <w:t>盐酸计量泵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八</w:t>
            </w:r>
          </w:p>
        </w:tc>
        <w:tc>
          <w:tcPr>
            <w:tcW w:w="4706" w:type="dxa"/>
            <w:tcBorders>
              <w:tl2br w:val="nil"/>
              <w:tr2bl w:val="nil"/>
            </w:tcBorders>
            <w:vAlign w:val="center"/>
          </w:tcPr>
          <w:p>
            <w:pPr>
              <w:widowControl/>
              <w:snapToGrid w:val="0"/>
              <w:jc w:val="center"/>
              <w:rPr>
                <w:szCs w:val="21"/>
              </w:rPr>
            </w:pPr>
            <w:r>
              <w:rPr>
                <w:szCs w:val="21"/>
              </w:rPr>
              <w:t>储泥池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搅拌机</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九</w:t>
            </w:r>
          </w:p>
        </w:tc>
        <w:tc>
          <w:tcPr>
            <w:tcW w:w="4706" w:type="dxa"/>
            <w:tcBorders>
              <w:tl2br w:val="nil"/>
              <w:tr2bl w:val="nil"/>
            </w:tcBorders>
            <w:vAlign w:val="center"/>
          </w:tcPr>
          <w:p>
            <w:pPr>
              <w:widowControl/>
              <w:snapToGrid w:val="0"/>
              <w:jc w:val="center"/>
              <w:rPr>
                <w:szCs w:val="21"/>
              </w:rPr>
            </w:pPr>
            <w:r>
              <w:rPr>
                <w:szCs w:val="21"/>
              </w:rPr>
              <w:t>污泥脱水机房</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带式浓缩压滤一体机</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带机清洗水泵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污泥螺杆泵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PAM自动泡药机</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5</w:t>
            </w:r>
          </w:p>
        </w:tc>
        <w:tc>
          <w:tcPr>
            <w:tcW w:w="4706" w:type="dxa"/>
            <w:tcBorders>
              <w:tl2br w:val="nil"/>
              <w:tr2bl w:val="nil"/>
            </w:tcBorders>
            <w:vAlign w:val="center"/>
          </w:tcPr>
          <w:p>
            <w:pPr>
              <w:widowControl/>
              <w:snapToGrid w:val="0"/>
              <w:jc w:val="center"/>
              <w:rPr>
                <w:szCs w:val="21"/>
              </w:rPr>
            </w:pPr>
            <w:r>
              <w:rPr>
                <w:szCs w:val="21"/>
              </w:rPr>
              <w:t>PAM计量泵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6</w:t>
            </w:r>
          </w:p>
        </w:tc>
        <w:tc>
          <w:tcPr>
            <w:tcW w:w="4706" w:type="dxa"/>
            <w:tcBorders>
              <w:tl2br w:val="nil"/>
              <w:tr2bl w:val="nil"/>
            </w:tcBorders>
            <w:vAlign w:val="center"/>
          </w:tcPr>
          <w:p>
            <w:pPr>
              <w:widowControl/>
              <w:snapToGrid w:val="0"/>
              <w:jc w:val="center"/>
              <w:rPr>
                <w:szCs w:val="21"/>
              </w:rPr>
            </w:pPr>
            <w:r>
              <w:rPr>
                <w:szCs w:val="21"/>
              </w:rPr>
              <w:t>轴流式通风机</w:t>
            </w:r>
          </w:p>
        </w:tc>
        <w:tc>
          <w:tcPr>
            <w:tcW w:w="1099" w:type="dxa"/>
            <w:tcBorders>
              <w:tl2br w:val="nil"/>
              <w:tr2bl w:val="nil"/>
            </w:tcBorders>
            <w:vAlign w:val="center"/>
          </w:tcPr>
          <w:p>
            <w:pPr>
              <w:widowControl/>
              <w:snapToGrid w:val="0"/>
              <w:jc w:val="center"/>
              <w:rPr>
                <w:szCs w:val="21"/>
              </w:rPr>
            </w:pPr>
            <w:r>
              <w:rPr>
                <w:szCs w:val="21"/>
              </w:rPr>
              <w:t>6</w:t>
            </w:r>
          </w:p>
        </w:tc>
        <w:tc>
          <w:tcPr>
            <w:tcW w:w="1092" w:type="dxa"/>
            <w:tcBorders>
              <w:tl2br w:val="nil"/>
              <w:tr2bl w:val="nil"/>
            </w:tcBorders>
            <w:vAlign w:val="center"/>
          </w:tcPr>
          <w:p>
            <w:pPr>
              <w:widowControl/>
              <w:snapToGrid w:val="0"/>
              <w:jc w:val="center"/>
              <w:rPr>
                <w:szCs w:val="21"/>
              </w:rPr>
            </w:pPr>
            <w:r>
              <w:rPr>
                <w:szCs w:val="21"/>
              </w:rPr>
              <w:t>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632" w:type="dxa"/>
            <w:tcBorders>
              <w:tl2br w:val="nil"/>
              <w:tr2bl w:val="nil"/>
            </w:tcBorders>
            <w:vAlign w:val="center"/>
          </w:tcPr>
          <w:p>
            <w:pPr>
              <w:widowControl/>
              <w:snapToGrid w:val="0"/>
              <w:jc w:val="center"/>
              <w:rPr>
                <w:szCs w:val="21"/>
              </w:rPr>
            </w:pPr>
            <w:r>
              <w:rPr>
                <w:szCs w:val="21"/>
              </w:rPr>
              <w:t>7</w:t>
            </w:r>
          </w:p>
        </w:tc>
        <w:tc>
          <w:tcPr>
            <w:tcW w:w="4706" w:type="dxa"/>
            <w:tcBorders>
              <w:tl2br w:val="nil"/>
              <w:tr2bl w:val="nil"/>
            </w:tcBorders>
            <w:vAlign w:val="center"/>
          </w:tcPr>
          <w:p>
            <w:pPr>
              <w:widowControl/>
              <w:snapToGrid w:val="0"/>
              <w:jc w:val="center"/>
              <w:rPr>
                <w:szCs w:val="21"/>
              </w:rPr>
            </w:pPr>
            <w:r>
              <w:rPr>
                <w:szCs w:val="21"/>
              </w:rPr>
              <w:t>污泥斗</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8</w:t>
            </w:r>
          </w:p>
        </w:tc>
        <w:tc>
          <w:tcPr>
            <w:tcW w:w="4706" w:type="dxa"/>
            <w:tcBorders>
              <w:tl2br w:val="nil"/>
              <w:tr2bl w:val="nil"/>
            </w:tcBorders>
            <w:vAlign w:val="center"/>
          </w:tcPr>
          <w:p>
            <w:pPr>
              <w:widowControl/>
              <w:snapToGrid w:val="0"/>
              <w:jc w:val="center"/>
              <w:rPr>
                <w:szCs w:val="21"/>
              </w:rPr>
            </w:pPr>
            <w:r>
              <w:rPr>
                <w:szCs w:val="21"/>
              </w:rPr>
              <w:t>空压机</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9</w:t>
            </w:r>
          </w:p>
        </w:tc>
        <w:tc>
          <w:tcPr>
            <w:tcW w:w="4706" w:type="dxa"/>
            <w:tcBorders>
              <w:tl2br w:val="nil"/>
              <w:tr2bl w:val="nil"/>
            </w:tcBorders>
            <w:vAlign w:val="center"/>
          </w:tcPr>
          <w:p>
            <w:pPr>
              <w:widowControl/>
              <w:snapToGrid w:val="0"/>
              <w:jc w:val="center"/>
              <w:rPr>
                <w:szCs w:val="21"/>
              </w:rPr>
            </w:pPr>
            <w:r>
              <w:rPr>
                <w:szCs w:val="21"/>
              </w:rPr>
              <w:t>潜污泵</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十</w:t>
            </w:r>
          </w:p>
        </w:tc>
        <w:tc>
          <w:tcPr>
            <w:tcW w:w="4706" w:type="dxa"/>
            <w:tcBorders>
              <w:tl2br w:val="nil"/>
              <w:tr2bl w:val="nil"/>
            </w:tcBorders>
            <w:vAlign w:val="center"/>
          </w:tcPr>
          <w:p>
            <w:pPr>
              <w:widowControl/>
              <w:snapToGrid w:val="0"/>
              <w:jc w:val="center"/>
              <w:rPr>
                <w:szCs w:val="21"/>
              </w:rPr>
            </w:pPr>
            <w:r>
              <w:rPr>
                <w:szCs w:val="21"/>
              </w:rPr>
              <w:t>甲醇投加系统</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甲醇投加泵</w:t>
            </w:r>
          </w:p>
        </w:tc>
        <w:tc>
          <w:tcPr>
            <w:tcW w:w="1099" w:type="dxa"/>
            <w:tcBorders>
              <w:tl2br w:val="nil"/>
              <w:tr2bl w:val="nil"/>
            </w:tcBorders>
            <w:vAlign w:val="center"/>
          </w:tcPr>
          <w:p>
            <w:pPr>
              <w:widowControl/>
              <w:snapToGrid w:val="0"/>
              <w:jc w:val="center"/>
              <w:rPr>
                <w:szCs w:val="21"/>
              </w:rPr>
            </w:pPr>
            <w:r>
              <w:rPr>
                <w:szCs w:val="21"/>
              </w:rPr>
              <w:t>5</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十一</w:t>
            </w:r>
          </w:p>
        </w:tc>
        <w:tc>
          <w:tcPr>
            <w:tcW w:w="4706" w:type="dxa"/>
            <w:tcBorders>
              <w:tl2br w:val="nil"/>
              <w:tr2bl w:val="nil"/>
            </w:tcBorders>
            <w:vAlign w:val="center"/>
          </w:tcPr>
          <w:p>
            <w:pPr>
              <w:widowControl/>
              <w:snapToGrid w:val="0"/>
              <w:jc w:val="center"/>
              <w:rPr>
                <w:szCs w:val="21"/>
              </w:rPr>
            </w:pPr>
            <w:r>
              <w:rPr>
                <w:szCs w:val="21"/>
              </w:rPr>
              <w:t>SBR池</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SBR池产水泵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38" w:type="dxa"/>
            <w:gridSpan w:val="2"/>
            <w:tcBorders>
              <w:tl2br w:val="nil"/>
              <w:tr2bl w:val="nil"/>
            </w:tcBorders>
            <w:vAlign w:val="center"/>
          </w:tcPr>
          <w:p>
            <w:pPr>
              <w:widowControl/>
              <w:snapToGrid w:val="0"/>
              <w:jc w:val="center"/>
              <w:rPr>
                <w:b/>
                <w:bCs/>
                <w:szCs w:val="21"/>
              </w:rPr>
            </w:pPr>
            <w:r>
              <w:rPr>
                <w:b/>
                <w:bCs/>
                <w:szCs w:val="21"/>
              </w:rPr>
              <w:t>中水回用系统</w:t>
            </w:r>
          </w:p>
        </w:tc>
        <w:tc>
          <w:tcPr>
            <w:tcW w:w="1099" w:type="dxa"/>
            <w:tcBorders>
              <w:tl2br w:val="nil"/>
              <w:tr2bl w:val="nil"/>
            </w:tcBorders>
            <w:vAlign w:val="center"/>
          </w:tcPr>
          <w:p>
            <w:pPr>
              <w:widowControl/>
              <w:snapToGrid w:val="0"/>
              <w:jc w:val="center"/>
              <w:rPr>
                <w:szCs w:val="21"/>
              </w:rPr>
            </w:pPr>
          </w:p>
        </w:tc>
        <w:tc>
          <w:tcPr>
            <w:tcW w:w="1092" w:type="dxa"/>
            <w:tcBorders>
              <w:tl2br w:val="nil"/>
              <w:tr2bl w:val="nil"/>
            </w:tcBorders>
            <w:vAlign w:val="center"/>
          </w:tcPr>
          <w:p>
            <w:pPr>
              <w:widowControl/>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w:t>
            </w:r>
          </w:p>
        </w:tc>
        <w:tc>
          <w:tcPr>
            <w:tcW w:w="4706" w:type="dxa"/>
            <w:tcBorders>
              <w:tl2br w:val="nil"/>
              <w:tr2bl w:val="nil"/>
            </w:tcBorders>
            <w:vAlign w:val="center"/>
          </w:tcPr>
          <w:p>
            <w:pPr>
              <w:widowControl/>
              <w:snapToGrid w:val="0"/>
              <w:jc w:val="center"/>
              <w:rPr>
                <w:szCs w:val="21"/>
              </w:rPr>
            </w:pPr>
            <w:r>
              <w:rPr>
                <w:szCs w:val="21"/>
              </w:rPr>
              <w:t>废水提升泵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w:t>
            </w:r>
          </w:p>
        </w:tc>
        <w:tc>
          <w:tcPr>
            <w:tcW w:w="4706" w:type="dxa"/>
            <w:tcBorders>
              <w:tl2br w:val="nil"/>
              <w:tr2bl w:val="nil"/>
            </w:tcBorders>
            <w:vAlign w:val="center"/>
          </w:tcPr>
          <w:p>
            <w:pPr>
              <w:widowControl/>
              <w:snapToGrid w:val="0"/>
              <w:jc w:val="center"/>
              <w:rPr>
                <w:szCs w:val="21"/>
              </w:rPr>
            </w:pPr>
            <w:r>
              <w:rPr>
                <w:szCs w:val="21"/>
              </w:rPr>
              <w:t>清水提升泵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3</w:t>
            </w:r>
          </w:p>
        </w:tc>
        <w:tc>
          <w:tcPr>
            <w:tcW w:w="4706" w:type="dxa"/>
            <w:tcBorders>
              <w:tl2br w:val="nil"/>
              <w:tr2bl w:val="nil"/>
            </w:tcBorders>
            <w:vAlign w:val="center"/>
          </w:tcPr>
          <w:p>
            <w:pPr>
              <w:widowControl/>
              <w:snapToGrid w:val="0"/>
              <w:jc w:val="center"/>
              <w:rPr>
                <w:szCs w:val="21"/>
              </w:rPr>
            </w:pPr>
            <w:r>
              <w:rPr>
                <w:szCs w:val="21"/>
              </w:rPr>
              <w:t>污泥泵</w:t>
            </w:r>
          </w:p>
        </w:tc>
        <w:tc>
          <w:tcPr>
            <w:tcW w:w="1099" w:type="dxa"/>
            <w:tcBorders>
              <w:tl2br w:val="nil"/>
              <w:tr2bl w:val="nil"/>
            </w:tcBorders>
            <w:vAlign w:val="center"/>
          </w:tcPr>
          <w:p>
            <w:pPr>
              <w:widowControl/>
              <w:snapToGrid w:val="0"/>
              <w:jc w:val="center"/>
              <w:rPr>
                <w:szCs w:val="21"/>
              </w:rPr>
            </w:pPr>
            <w:r>
              <w:rPr>
                <w:szCs w:val="21"/>
              </w:rPr>
              <w:t>4</w:t>
            </w:r>
          </w:p>
        </w:tc>
        <w:tc>
          <w:tcPr>
            <w:tcW w:w="1092" w:type="dxa"/>
            <w:tcBorders>
              <w:tl2br w:val="nil"/>
              <w:tr2bl w:val="nil"/>
            </w:tcBorders>
            <w:vAlign w:val="center"/>
          </w:tcPr>
          <w:p>
            <w:pPr>
              <w:widowControl/>
              <w:snapToGrid w:val="0"/>
              <w:jc w:val="center"/>
              <w:rPr>
                <w:szCs w:val="21"/>
              </w:rPr>
            </w:pPr>
            <w:r>
              <w:rPr>
                <w:szCs w:val="21"/>
              </w:rPr>
              <w:t>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4</w:t>
            </w:r>
          </w:p>
        </w:tc>
        <w:tc>
          <w:tcPr>
            <w:tcW w:w="4706" w:type="dxa"/>
            <w:tcBorders>
              <w:tl2br w:val="nil"/>
              <w:tr2bl w:val="nil"/>
            </w:tcBorders>
            <w:vAlign w:val="center"/>
          </w:tcPr>
          <w:p>
            <w:pPr>
              <w:widowControl/>
              <w:snapToGrid w:val="0"/>
              <w:jc w:val="center"/>
              <w:rPr>
                <w:szCs w:val="21"/>
              </w:rPr>
            </w:pPr>
            <w:r>
              <w:rPr>
                <w:szCs w:val="21"/>
              </w:rPr>
              <w:t>输碱泵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5</w:t>
            </w:r>
          </w:p>
        </w:tc>
        <w:tc>
          <w:tcPr>
            <w:tcW w:w="4706" w:type="dxa"/>
            <w:tcBorders>
              <w:tl2br w:val="nil"/>
              <w:tr2bl w:val="nil"/>
            </w:tcBorders>
            <w:vAlign w:val="center"/>
          </w:tcPr>
          <w:p>
            <w:pPr>
              <w:widowControl/>
              <w:snapToGrid w:val="0"/>
              <w:jc w:val="center"/>
              <w:rPr>
                <w:szCs w:val="21"/>
              </w:rPr>
            </w:pPr>
            <w:r>
              <w:rPr>
                <w:szCs w:val="21"/>
              </w:rPr>
              <w:t>过滤器反洗泵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6</w:t>
            </w:r>
          </w:p>
        </w:tc>
        <w:tc>
          <w:tcPr>
            <w:tcW w:w="4706" w:type="dxa"/>
            <w:tcBorders>
              <w:tl2br w:val="nil"/>
              <w:tr2bl w:val="nil"/>
            </w:tcBorders>
            <w:vAlign w:val="center"/>
          </w:tcPr>
          <w:p>
            <w:pPr>
              <w:widowControl/>
              <w:snapToGrid w:val="0"/>
              <w:jc w:val="center"/>
              <w:rPr>
                <w:szCs w:val="21"/>
              </w:rPr>
            </w:pPr>
            <w:r>
              <w:rPr>
                <w:szCs w:val="21"/>
              </w:rPr>
              <w:t>过滤器反洗鼓风机</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7</w:t>
            </w:r>
          </w:p>
        </w:tc>
        <w:tc>
          <w:tcPr>
            <w:tcW w:w="4706" w:type="dxa"/>
            <w:tcBorders>
              <w:tl2br w:val="nil"/>
              <w:tr2bl w:val="nil"/>
            </w:tcBorders>
            <w:vAlign w:val="center"/>
          </w:tcPr>
          <w:p>
            <w:pPr>
              <w:widowControl/>
              <w:snapToGrid w:val="0"/>
              <w:jc w:val="center"/>
              <w:rPr>
                <w:szCs w:val="21"/>
              </w:rPr>
            </w:pPr>
            <w:r>
              <w:rPr>
                <w:szCs w:val="21"/>
              </w:rPr>
              <w:t>自清洗过滤器</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8</w:t>
            </w:r>
          </w:p>
        </w:tc>
        <w:tc>
          <w:tcPr>
            <w:tcW w:w="4706" w:type="dxa"/>
            <w:tcBorders>
              <w:tl2br w:val="nil"/>
              <w:tr2bl w:val="nil"/>
            </w:tcBorders>
            <w:vAlign w:val="center"/>
          </w:tcPr>
          <w:p>
            <w:pPr>
              <w:widowControl/>
              <w:snapToGrid w:val="0"/>
              <w:jc w:val="center"/>
              <w:rPr>
                <w:szCs w:val="21"/>
              </w:rPr>
            </w:pPr>
            <w:r>
              <w:rPr>
                <w:szCs w:val="21"/>
              </w:rPr>
              <w:t>超滤反洗泵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9</w:t>
            </w:r>
          </w:p>
        </w:tc>
        <w:tc>
          <w:tcPr>
            <w:tcW w:w="4706" w:type="dxa"/>
            <w:tcBorders>
              <w:tl2br w:val="nil"/>
              <w:tr2bl w:val="nil"/>
            </w:tcBorders>
            <w:vAlign w:val="center"/>
          </w:tcPr>
          <w:p>
            <w:pPr>
              <w:widowControl/>
              <w:snapToGrid w:val="0"/>
              <w:jc w:val="center"/>
              <w:rPr>
                <w:szCs w:val="21"/>
              </w:rPr>
            </w:pPr>
            <w:r>
              <w:rPr>
                <w:szCs w:val="21"/>
              </w:rPr>
              <w:t>反渗透化学清洗水泵</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10</w:t>
            </w:r>
          </w:p>
        </w:tc>
        <w:tc>
          <w:tcPr>
            <w:tcW w:w="4706" w:type="dxa"/>
            <w:tcBorders>
              <w:tl2br w:val="nil"/>
              <w:tr2bl w:val="nil"/>
            </w:tcBorders>
            <w:vAlign w:val="center"/>
          </w:tcPr>
          <w:p>
            <w:pPr>
              <w:widowControl/>
              <w:snapToGrid w:val="0"/>
              <w:jc w:val="center"/>
              <w:rPr>
                <w:szCs w:val="21"/>
              </w:rPr>
            </w:pPr>
            <w:r>
              <w:rPr>
                <w:szCs w:val="21"/>
              </w:rPr>
              <w:t>超滤反洗废水提升泵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11</w:t>
            </w:r>
          </w:p>
        </w:tc>
        <w:tc>
          <w:tcPr>
            <w:tcW w:w="4706" w:type="dxa"/>
            <w:tcBorders>
              <w:tl2br w:val="nil"/>
              <w:tr2bl w:val="nil"/>
            </w:tcBorders>
            <w:vAlign w:val="center"/>
          </w:tcPr>
          <w:p>
            <w:pPr>
              <w:widowControl/>
              <w:snapToGrid w:val="0"/>
              <w:jc w:val="center"/>
              <w:rPr>
                <w:szCs w:val="21"/>
              </w:rPr>
            </w:pPr>
            <w:r>
              <w:rPr>
                <w:szCs w:val="21"/>
              </w:rPr>
              <w:t>反渗透供水泵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shd w:val="clear" w:color="000000" w:fill="FFFFFF"/>
            <w:vAlign w:val="center"/>
          </w:tcPr>
          <w:p>
            <w:pPr>
              <w:widowControl/>
              <w:snapToGrid w:val="0"/>
              <w:jc w:val="center"/>
              <w:rPr>
                <w:szCs w:val="21"/>
              </w:rPr>
            </w:pPr>
            <w:r>
              <w:rPr>
                <w:szCs w:val="21"/>
              </w:rPr>
              <w:t>12</w:t>
            </w:r>
          </w:p>
        </w:tc>
        <w:tc>
          <w:tcPr>
            <w:tcW w:w="4706" w:type="dxa"/>
            <w:tcBorders>
              <w:tl2br w:val="nil"/>
              <w:tr2bl w:val="nil"/>
            </w:tcBorders>
            <w:shd w:val="clear" w:color="000000" w:fill="FFFFFF"/>
            <w:vAlign w:val="center"/>
          </w:tcPr>
          <w:p>
            <w:pPr>
              <w:widowControl/>
              <w:snapToGrid w:val="0"/>
              <w:jc w:val="center"/>
              <w:rPr>
                <w:szCs w:val="21"/>
              </w:rPr>
            </w:pPr>
            <w:r>
              <w:rPr>
                <w:szCs w:val="21"/>
              </w:rPr>
              <w:t>反渗透高压泵</w:t>
            </w:r>
          </w:p>
        </w:tc>
        <w:tc>
          <w:tcPr>
            <w:tcW w:w="1099" w:type="dxa"/>
            <w:tcBorders>
              <w:tl2br w:val="nil"/>
              <w:tr2bl w:val="nil"/>
            </w:tcBorders>
            <w:shd w:val="clear" w:color="000000" w:fill="FFFFFF"/>
            <w:vAlign w:val="center"/>
          </w:tcPr>
          <w:p>
            <w:pPr>
              <w:widowControl/>
              <w:snapToGrid w:val="0"/>
              <w:jc w:val="center"/>
              <w:rPr>
                <w:szCs w:val="21"/>
              </w:rPr>
            </w:pPr>
            <w:r>
              <w:rPr>
                <w:szCs w:val="21"/>
              </w:rPr>
              <w:t>2</w:t>
            </w:r>
          </w:p>
        </w:tc>
        <w:tc>
          <w:tcPr>
            <w:tcW w:w="1092" w:type="dxa"/>
            <w:tcBorders>
              <w:tl2br w:val="nil"/>
              <w:tr2bl w:val="nil"/>
            </w:tcBorders>
            <w:shd w:val="clear" w:color="000000" w:fill="FFFFFF"/>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13</w:t>
            </w:r>
          </w:p>
        </w:tc>
        <w:tc>
          <w:tcPr>
            <w:tcW w:w="4706" w:type="dxa"/>
            <w:tcBorders>
              <w:tl2br w:val="nil"/>
              <w:tr2bl w:val="nil"/>
            </w:tcBorders>
            <w:vAlign w:val="center"/>
          </w:tcPr>
          <w:p>
            <w:pPr>
              <w:widowControl/>
              <w:snapToGrid w:val="0"/>
              <w:jc w:val="center"/>
              <w:rPr>
                <w:szCs w:val="21"/>
              </w:rPr>
            </w:pPr>
            <w:r>
              <w:rPr>
                <w:szCs w:val="21"/>
              </w:rPr>
              <w:t>反渗透冲洗泵</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14</w:t>
            </w:r>
          </w:p>
        </w:tc>
        <w:tc>
          <w:tcPr>
            <w:tcW w:w="4706" w:type="dxa"/>
            <w:tcBorders>
              <w:tl2br w:val="nil"/>
              <w:tr2bl w:val="nil"/>
            </w:tcBorders>
            <w:vAlign w:val="center"/>
          </w:tcPr>
          <w:p>
            <w:pPr>
              <w:widowControl/>
              <w:snapToGrid w:val="0"/>
              <w:jc w:val="center"/>
              <w:rPr>
                <w:szCs w:val="21"/>
              </w:rPr>
            </w:pPr>
            <w:r>
              <w:rPr>
                <w:szCs w:val="21"/>
              </w:rPr>
              <w:t>反渗透产水外送水泵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15</w:t>
            </w:r>
          </w:p>
        </w:tc>
        <w:tc>
          <w:tcPr>
            <w:tcW w:w="4706" w:type="dxa"/>
            <w:tcBorders>
              <w:tl2br w:val="nil"/>
              <w:tr2bl w:val="nil"/>
            </w:tcBorders>
            <w:vAlign w:val="center"/>
          </w:tcPr>
          <w:p>
            <w:pPr>
              <w:widowControl/>
              <w:snapToGrid w:val="0"/>
              <w:jc w:val="center"/>
              <w:rPr>
                <w:szCs w:val="21"/>
              </w:rPr>
            </w:pPr>
            <w:r>
              <w:rPr>
                <w:szCs w:val="21"/>
              </w:rPr>
              <w:t>反渗透浓水外送水泵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16</w:t>
            </w:r>
          </w:p>
        </w:tc>
        <w:tc>
          <w:tcPr>
            <w:tcW w:w="4706" w:type="dxa"/>
            <w:tcBorders>
              <w:tl2br w:val="nil"/>
              <w:tr2bl w:val="nil"/>
            </w:tcBorders>
            <w:vAlign w:val="center"/>
          </w:tcPr>
          <w:p>
            <w:pPr>
              <w:widowControl/>
              <w:snapToGrid w:val="0"/>
              <w:jc w:val="center"/>
              <w:rPr>
                <w:szCs w:val="21"/>
              </w:rPr>
            </w:pPr>
            <w:r>
              <w:rPr>
                <w:szCs w:val="21"/>
              </w:rPr>
              <w:t>碱加药计量泵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17</w:t>
            </w:r>
          </w:p>
        </w:tc>
        <w:tc>
          <w:tcPr>
            <w:tcW w:w="4706" w:type="dxa"/>
            <w:tcBorders>
              <w:tl2br w:val="nil"/>
              <w:tr2bl w:val="nil"/>
            </w:tcBorders>
            <w:vAlign w:val="center"/>
          </w:tcPr>
          <w:p>
            <w:pPr>
              <w:widowControl/>
              <w:snapToGrid w:val="0"/>
              <w:jc w:val="center"/>
              <w:rPr>
                <w:szCs w:val="21"/>
              </w:rPr>
            </w:pPr>
            <w:r>
              <w:rPr>
                <w:szCs w:val="21"/>
              </w:rPr>
              <w:t>碱加药计量泵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18</w:t>
            </w:r>
          </w:p>
        </w:tc>
        <w:tc>
          <w:tcPr>
            <w:tcW w:w="4706" w:type="dxa"/>
            <w:tcBorders>
              <w:tl2br w:val="nil"/>
              <w:tr2bl w:val="nil"/>
            </w:tcBorders>
            <w:vAlign w:val="center"/>
          </w:tcPr>
          <w:p>
            <w:pPr>
              <w:widowControl/>
              <w:snapToGrid w:val="0"/>
              <w:jc w:val="center"/>
              <w:rPr>
                <w:szCs w:val="21"/>
              </w:rPr>
            </w:pPr>
            <w:r>
              <w:rPr>
                <w:szCs w:val="21"/>
              </w:rPr>
              <w:t>絮凝剂计量泵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19</w:t>
            </w:r>
          </w:p>
        </w:tc>
        <w:tc>
          <w:tcPr>
            <w:tcW w:w="4706" w:type="dxa"/>
            <w:tcBorders>
              <w:tl2br w:val="nil"/>
              <w:tr2bl w:val="nil"/>
            </w:tcBorders>
            <w:vAlign w:val="center"/>
          </w:tcPr>
          <w:p>
            <w:pPr>
              <w:widowControl/>
              <w:snapToGrid w:val="0"/>
              <w:jc w:val="center"/>
              <w:rPr>
                <w:szCs w:val="21"/>
              </w:rPr>
            </w:pPr>
            <w:r>
              <w:rPr>
                <w:szCs w:val="21"/>
              </w:rPr>
              <w:t>助凝剂计量泵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20</w:t>
            </w:r>
          </w:p>
        </w:tc>
        <w:tc>
          <w:tcPr>
            <w:tcW w:w="4706" w:type="dxa"/>
            <w:tcBorders>
              <w:tl2br w:val="nil"/>
              <w:tr2bl w:val="nil"/>
            </w:tcBorders>
            <w:vAlign w:val="center"/>
          </w:tcPr>
          <w:p>
            <w:pPr>
              <w:widowControl/>
              <w:snapToGrid w:val="0"/>
              <w:jc w:val="center"/>
              <w:rPr>
                <w:szCs w:val="21"/>
              </w:rPr>
            </w:pPr>
            <w:r>
              <w:rPr>
                <w:szCs w:val="21"/>
              </w:rPr>
              <w:t>次氯酸钠计量泵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21</w:t>
            </w:r>
          </w:p>
        </w:tc>
        <w:tc>
          <w:tcPr>
            <w:tcW w:w="4706" w:type="dxa"/>
            <w:tcBorders>
              <w:tl2br w:val="nil"/>
              <w:tr2bl w:val="nil"/>
            </w:tcBorders>
            <w:vAlign w:val="center"/>
          </w:tcPr>
          <w:p>
            <w:pPr>
              <w:widowControl/>
              <w:snapToGrid w:val="0"/>
              <w:jc w:val="center"/>
              <w:rPr>
                <w:szCs w:val="21"/>
              </w:rPr>
            </w:pPr>
            <w:r>
              <w:rPr>
                <w:szCs w:val="21"/>
              </w:rPr>
              <w:t>次氯酸钠计量泵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22</w:t>
            </w:r>
          </w:p>
        </w:tc>
        <w:tc>
          <w:tcPr>
            <w:tcW w:w="4706" w:type="dxa"/>
            <w:tcBorders>
              <w:tl2br w:val="nil"/>
              <w:tr2bl w:val="nil"/>
            </w:tcBorders>
            <w:vAlign w:val="center"/>
          </w:tcPr>
          <w:p>
            <w:pPr>
              <w:widowControl/>
              <w:snapToGrid w:val="0"/>
              <w:jc w:val="center"/>
              <w:rPr>
                <w:szCs w:val="21"/>
              </w:rPr>
            </w:pPr>
            <w:r>
              <w:rPr>
                <w:szCs w:val="21"/>
              </w:rPr>
              <w:t>盐酸加药计量泵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23</w:t>
            </w:r>
          </w:p>
        </w:tc>
        <w:tc>
          <w:tcPr>
            <w:tcW w:w="4706" w:type="dxa"/>
            <w:tcBorders>
              <w:tl2br w:val="nil"/>
              <w:tr2bl w:val="nil"/>
            </w:tcBorders>
            <w:vAlign w:val="center"/>
          </w:tcPr>
          <w:p>
            <w:pPr>
              <w:widowControl/>
              <w:snapToGrid w:val="0"/>
              <w:jc w:val="center"/>
              <w:rPr>
                <w:szCs w:val="21"/>
              </w:rPr>
            </w:pPr>
            <w:r>
              <w:rPr>
                <w:szCs w:val="21"/>
              </w:rPr>
              <w:t>盐酸加药计量泵</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24</w:t>
            </w:r>
          </w:p>
        </w:tc>
        <w:tc>
          <w:tcPr>
            <w:tcW w:w="4706" w:type="dxa"/>
            <w:tcBorders>
              <w:tl2br w:val="nil"/>
              <w:tr2bl w:val="nil"/>
            </w:tcBorders>
            <w:vAlign w:val="center"/>
          </w:tcPr>
          <w:p>
            <w:pPr>
              <w:widowControl/>
              <w:snapToGrid w:val="0"/>
              <w:jc w:val="center"/>
              <w:rPr>
                <w:szCs w:val="21"/>
              </w:rPr>
            </w:pPr>
            <w:r>
              <w:rPr>
                <w:szCs w:val="21"/>
              </w:rPr>
              <w:t>阻垢剂加药计量泵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25</w:t>
            </w:r>
          </w:p>
        </w:tc>
        <w:tc>
          <w:tcPr>
            <w:tcW w:w="4706" w:type="dxa"/>
            <w:tcBorders>
              <w:tl2br w:val="nil"/>
              <w:tr2bl w:val="nil"/>
            </w:tcBorders>
            <w:vAlign w:val="center"/>
          </w:tcPr>
          <w:p>
            <w:pPr>
              <w:widowControl/>
              <w:snapToGrid w:val="0"/>
              <w:jc w:val="center"/>
              <w:rPr>
                <w:szCs w:val="21"/>
              </w:rPr>
            </w:pPr>
            <w:r>
              <w:rPr>
                <w:szCs w:val="21"/>
              </w:rPr>
              <w:t>碳酸钠加药计量泵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26</w:t>
            </w:r>
          </w:p>
        </w:tc>
        <w:tc>
          <w:tcPr>
            <w:tcW w:w="4706" w:type="dxa"/>
            <w:tcBorders>
              <w:tl2br w:val="nil"/>
              <w:tr2bl w:val="nil"/>
            </w:tcBorders>
            <w:vAlign w:val="center"/>
          </w:tcPr>
          <w:p>
            <w:pPr>
              <w:widowControl/>
              <w:snapToGrid w:val="0"/>
              <w:jc w:val="center"/>
              <w:rPr>
                <w:szCs w:val="21"/>
              </w:rPr>
            </w:pPr>
            <w:r>
              <w:rPr>
                <w:szCs w:val="21"/>
              </w:rPr>
              <w:t>非氧化性杀菌剂加药计量泵</w:t>
            </w:r>
          </w:p>
        </w:tc>
        <w:tc>
          <w:tcPr>
            <w:tcW w:w="1099" w:type="dxa"/>
            <w:tcBorders>
              <w:tl2br w:val="nil"/>
              <w:tr2bl w:val="nil"/>
            </w:tcBorders>
            <w:vAlign w:val="center"/>
          </w:tcPr>
          <w:p>
            <w:pPr>
              <w:widowControl/>
              <w:snapToGrid w:val="0"/>
              <w:jc w:val="center"/>
              <w:rPr>
                <w:szCs w:val="21"/>
              </w:rPr>
            </w:pPr>
            <w:r>
              <w:rPr>
                <w:szCs w:val="21"/>
              </w:rPr>
              <w:t>3</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27</w:t>
            </w:r>
          </w:p>
        </w:tc>
        <w:tc>
          <w:tcPr>
            <w:tcW w:w="4706" w:type="dxa"/>
            <w:tcBorders>
              <w:tl2br w:val="nil"/>
              <w:tr2bl w:val="nil"/>
            </w:tcBorders>
            <w:vAlign w:val="center"/>
          </w:tcPr>
          <w:p>
            <w:pPr>
              <w:widowControl/>
              <w:snapToGrid w:val="0"/>
              <w:jc w:val="center"/>
              <w:rPr>
                <w:szCs w:val="21"/>
              </w:rPr>
            </w:pPr>
            <w:r>
              <w:rPr>
                <w:szCs w:val="21"/>
              </w:rPr>
              <w:t>化学清洗加热器</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28</w:t>
            </w:r>
          </w:p>
        </w:tc>
        <w:tc>
          <w:tcPr>
            <w:tcW w:w="4706" w:type="dxa"/>
            <w:tcBorders>
              <w:tl2br w:val="nil"/>
              <w:tr2bl w:val="nil"/>
            </w:tcBorders>
            <w:vAlign w:val="center"/>
          </w:tcPr>
          <w:p>
            <w:pPr>
              <w:widowControl/>
              <w:snapToGrid w:val="0"/>
              <w:jc w:val="center"/>
              <w:rPr>
                <w:szCs w:val="21"/>
              </w:rPr>
            </w:pPr>
            <w:r>
              <w:rPr>
                <w:szCs w:val="21"/>
              </w:rPr>
              <w:t>潜污泵</w:t>
            </w:r>
          </w:p>
        </w:tc>
        <w:tc>
          <w:tcPr>
            <w:tcW w:w="1099" w:type="dxa"/>
            <w:tcBorders>
              <w:tl2br w:val="nil"/>
              <w:tr2bl w:val="nil"/>
            </w:tcBorders>
            <w:vAlign w:val="center"/>
          </w:tcPr>
          <w:p>
            <w:pPr>
              <w:widowControl/>
              <w:snapToGrid w:val="0"/>
              <w:jc w:val="center"/>
              <w:rPr>
                <w:szCs w:val="21"/>
              </w:rPr>
            </w:pPr>
            <w:r>
              <w:rPr>
                <w:szCs w:val="21"/>
              </w:rPr>
              <w:t>1</w:t>
            </w:r>
          </w:p>
        </w:tc>
        <w:tc>
          <w:tcPr>
            <w:tcW w:w="1092" w:type="dxa"/>
            <w:tcBorders>
              <w:tl2br w:val="nil"/>
              <w:tr2bl w:val="nil"/>
            </w:tcBorders>
            <w:vAlign w:val="center"/>
          </w:tcPr>
          <w:p>
            <w:pPr>
              <w:widowControl/>
              <w:snapToGrid w:val="0"/>
              <w:jc w:val="center"/>
              <w:rPr>
                <w:szCs w:val="21"/>
              </w:rPr>
            </w:pPr>
            <w:r>
              <w:rPr>
                <w:szCs w:val="21"/>
              </w:rPr>
              <w:t>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632" w:type="dxa"/>
            <w:tcBorders>
              <w:tl2br w:val="nil"/>
              <w:tr2bl w:val="nil"/>
            </w:tcBorders>
            <w:vAlign w:val="center"/>
          </w:tcPr>
          <w:p>
            <w:pPr>
              <w:widowControl/>
              <w:snapToGrid w:val="0"/>
              <w:jc w:val="center"/>
              <w:rPr>
                <w:szCs w:val="21"/>
              </w:rPr>
            </w:pPr>
            <w:r>
              <w:rPr>
                <w:szCs w:val="21"/>
              </w:rPr>
              <w:t>29</w:t>
            </w:r>
          </w:p>
        </w:tc>
        <w:tc>
          <w:tcPr>
            <w:tcW w:w="4706" w:type="dxa"/>
            <w:tcBorders>
              <w:tl2br w:val="nil"/>
              <w:tr2bl w:val="nil"/>
            </w:tcBorders>
            <w:vAlign w:val="center"/>
          </w:tcPr>
          <w:p>
            <w:pPr>
              <w:widowControl/>
              <w:snapToGrid w:val="0"/>
              <w:jc w:val="center"/>
              <w:rPr>
                <w:szCs w:val="21"/>
              </w:rPr>
            </w:pPr>
            <w:r>
              <w:rPr>
                <w:szCs w:val="21"/>
              </w:rPr>
              <w:t>电动葫芦</w:t>
            </w:r>
          </w:p>
        </w:tc>
        <w:tc>
          <w:tcPr>
            <w:tcW w:w="1099" w:type="dxa"/>
            <w:tcBorders>
              <w:tl2br w:val="nil"/>
              <w:tr2bl w:val="nil"/>
            </w:tcBorders>
            <w:vAlign w:val="center"/>
          </w:tcPr>
          <w:p>
            <w:pPr>
              <w:widowControl/>
              <w:snapToGrid w:val="0"/>
              <w:jc w:val="center"/>
              <w:rPr>
                <w:szCs w:val="21"/>
              </w:rPr>
            </w:pPr>
            <w:r>
              <w:rPr>
                <w:szCs w:val="21"/>
              </w:rPr>
              <w:t>2</w:t>
            </w:r>
          </w:p>
        </w:tc>
        <w:tc>
          <w:tcPr>
            <w:tcW w:w="1092" w:type="dxa"/>
            <w:tcBorders>
              <w:tl2br w:val="nil"/>
              <w:tr2bl w:val="nil"/>
            </w:tcBorders>
            <w:vAlign w:val="center"/>
          </w:tcPr>
          <w:p>
            <w:pPr>
              <w:widowControl/>
              <w:snapToGrid w:val="0"/>
              <w:jc w:val="center"/>
              <w:rPr>
                <w:szCs w:val="21"/>
              </w:rPr>
            </w:pPr>
            <w:r>
              <w:rPr>
                <w:szCs w:val="21"/>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338" w:type="dxa"/>
            <w:gridSpan w:val="2"/>
            <w:tcBorders>
              <w:tl2br w:val="nil"/>
              <w:tr2bl w:val="nil"/>
            </w:tcBorders>
            <w:vAlign w:val="center"/>
          </w:tcPr>
          <w:p>
            <w:pPr>
              <w:widowControl/>
              <w:snapToGrid w:val="0"/>
              <w:jc w:val="center"/>
              <w:rPr>
                <w:szCs w:val="21"/>
              </w:rPr>
            </w:pPr>
            <w:r>
              <w:rPr>
                <w:rFonts w:hint="eastAsia"/>
                <w:szCs w:val="21"/>
              </w:rPr>
              <w:t>合计</w:t>
            </w:r>
          </w:p>
        </w:tc>
        <w:tc>
          <w:tcPr>
            <w:tcW w:w="1099" w:type="dxa"/>
            <w:tcBorders>
              <w:tl2br w:val="nil"/>
              <w:tr2bl w:val="nil"/>
            </w:tcBorders>
            <w:vAlign w:val="center"/>
          </w:tcPr>
          <w:p>
            <w:pPr>
              <w:widowControl/>
              <w:snapToGrid w:val="0"/>
              <w:jc w:val="center"/>
              <w:rPr>
                <w:szCs w:val="21"/>
              </w:rPr>
            </w:pPr>
            <w:r>
              <w:rPr>
                <w:szCs w:val="21"/>
              </w:rPr>
              <w:t>183</w:t>
            </w:r>
          </w:p>
        </w:tc>
        <w:tc>
          <w:tcPr>
            <w:tcW w:w="1092" w:type="dxa"/>
            <w:tcBorders>
              <w:tl2br w:val="nil"/>
              <w:tr2bl w:val="nil"/>
            </w:tcBorders>
            <w:vAlign w:val="center"/>
          </w:tcPr>
          <w:p>
            <w:pPr>
              <w:widowControl/>
              <w:snapToGrid w:val="0"/>
              <w:jc w:val="center"/>
              <w:rPr>
                <w:szCs w:val="21"/>
              </w:rPr>
            </w:pPr>
            <w:r>
              <w:rPr>
                <w:szCs w:val="21"/>
              </w:rPr>
              <w:t>144</w:t>
            </w:r>
          </w:p>
        </w:tc>
      </w:tr>
    </w:tbl>
    <w:p>
      <w:pPr>
        <w:jc w:val="center"/>
        <w:rPr>
          <w:rFonts w:ascii="Times New Roman" w:hAnsi="Times New Roman" w:cs="Times New Roman"/>
          <w:b/>
          <w:sz w:val="24"/>
        </w:rPr>
      </w:pPr>
    </w:p>
    <w:p>
      <w:pPr>
        <w:pStyle w:val="5"/>
        <w:rPr>
          <w:rFonts w:hint="eastAsia" w:ascii="Times New Roman" w:hAnsi="Times New Roman" w:cs="Times New Roman"/>
          <w:sz w:val="24"/>
          <w:szCs w:val="24"/>
          <w:lang w:val="en-US" w:eastAsia="zh-CN"/>
        </w:rPr>
      </w:pPr>
      <w:bookmarkStart w:id="35" w:name="_Toc8078"/>
      <w:r>
        <w:rPr>
          <w:rFonts w:hint="eastAsia" w:ascii="Times New Roman" w:hAnsi="Times New Roman" w:cs="Times New Roman"/>
          <w:sz w:val="24"/>
          <w:szCs w:val="24"/>
          <w:lang w:val="en-US" w:eastAsia="zh-CN"/>
        </w:rPr>
        <w:t>3.5 废水及中水来源</w:t>
      </w:r>
    </w:p>
    <w:p>
      <w:pPr>
        <w:ind w:firstLine="48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废水处理站及中水的来源见图3.5-1、图3.5-2。</w:t>
      </w:r>
    </w:p>
    <w:p>
      <w:pPr>
        <w:pStyle w:val="5"/>
        <w:rPr>
          <w:rFonts w:hint="eastAsia"/>
          <w:lang w:val="en-US" w:eastAsia="zh-CN"/>
        </w:rPr>
      </w:pPr>
      <w:r>
        <w:rPr>
          <w:rFonts w:ascii="Arial" w:hAnsi="Arial" w:eastAsia="宋体" w:cs="黑体"/>
          <w:b/>
          <w:bCs/>
          <w:kern w:val="2"/>
          <w:sz w:val="28"/>
          <w:szCs w:val="32"/>
          <w:lang w:val="en-US" w:eastAsia="zh-CN" w:bidi="ar-SA"/>
        </w:rPr>
        <w:object>
          <v:shape id="_x0000_i1030" o:spt="75" type="#_x0000_t75" style="height:379.75pt;width:424.1pt;" o:ole="t" filled="f" o:preferrelative="t" stroked="f" coordsize="21600,21600">
            <v:path/>
            <v:fill on="f" focussize="0,0"/>
            <v:stroke on="f"/>
            <v:imagedata r:id="rId33" blacklevel="0f" o:title=""/>
            <o:lock v:ext="edit" aspectratio="t"/>
            <w10:wrap type="none"/>
            <w10:anchorlock/>
          </v:shape>
          <o:OLEObject Type="Embed" ProgID="Visio.Drawing.11" ShapeID="_x0000_i1030" DrawAspect="Content" ObjectID="_1468075727" r:id="rId32">
            <o:LockedField>false</o:LockedField>
          </o:OLEObject>
        </w:object>
      </w:r>
    </w:p>
    <w:p>
      <w:pPr>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图3.5-1  </w:t>
      </w:r>
      <w:r>
        <w:rPr>
          <w:rFonts w:hint="eastAsia" w:ascii="宋体" w:hAnsi="宋体" w:eastAsia="宋体" w:cs="宋体"/>
          <w:color w:val="auto"/>
          <w:sz w:val="24"/>
          <w:szCs w:val="24"/>
          <w:lang w:val="en-US" w:eastAsia="zh-CN"/>
        </w:rPr>
        <w:t>废水处理站废水</w:t>
      </w:r>
      <w:r>
        <w:rPr>
          <w:rFonts w:hint="eastAsia" w:ascii="宋体" w:hAnsi="宋体" w:eastAsia="宋体" w:cs="宋体"/>
          <w:sz w:val="24"/>
          <w:szCs w:val="24"/>
          <w:lang w:val="en-US" w:eastAsia="zh-CN"/>
        </w:rPr>
        <w:t>来源图</w:t>
      </w:r>
    </w:p>
    <w:p>
      <w:pPr>
        <w:pStyle w:val="5"/>
        <w:spacing w:line="360" w:lineRule="auto"/>
        <w:ind w:firstLine="480" w:firstLineChars="200"/>
        <w:rPr>
          <w:rFonts w:hint="eastAsia"/>
          <w:sz w:val="24"/>
          <w:szCs w:val="24"/>
          <w:lang w:val="en-US" w:eastAsia="zh-CN"/>
        </w:rPr>
      </w:pPr>
      <w:r>
        <w:rPr>
          <w:rFonts w:hint="eastAsia"/>
          <w:b w:val="0"/>
          <w:bCs w:val="0"/>
          <w:sz w:val="24"/>
          <w:szCs w:val="24"/>
          <w:lang w:val="en-US" w:eastAsia="zh-CN"/>
        </w:rPr>
        <w:t>中水回用系统主要是对现有排放的清净下水进行收集，处理后回用于厂区工业用水。现有厂区中水回用系统水源为现有厂区产生的清净下水，具体见图3.5-2。</w:t>
      </w:r>
    </w:p>
    <w:p>
      <w:pPr>
        <w:pStyle w:val="5"/>
      </w:pPr>
      <w:r>
        <w:rPr>
          <w:rFonts w:ascii="Arial" w:hAnsi="Arial" w:eastAsia="宋体" w:cs="黑体"/>
          <w:b/>
          <w:bCs/>
          <w:kern w:val="2"/>
          <w:sz w:val="28"/>
          <w:szCs w:val="32"/>
          <w:lang w:val="en-US" w:eastAsia="zh-CN" w:bidi="ar-SA"/>
        </w:rPr>
        <w:object>
          <v:shape id="_x0000_i1031" o:spt="75" type="#_x0000_t75" style="height:200.15pt;width:360.4pt;" o:ole="t" fillcolor="#FFFFFF" filled="f" o:preferrelative="t" stroked="f" coordsize="21600,21600">
            <v:path/>
            <v:fill on="f" color2="#FFFFFF" focussize="0,0"/>
            <v:stroke on="f"/>
            <v:imagedata r:id="rId35" gain="65536f" blacklevel="0f" gamma="0" o:title=""/>
            <o:lock v:ext="edit" position="f" selection="f" grouping="f" rotation="f" cropping="f" text="f" aspectratio="t"/>
            <w10:wrap type="none"/>
            <w10:anchorlock/>
          </v:shape>
          <o:OLEObject Type="Embed" ProgID="" ShapeID="_x0000_i1031" DrawAspect="Content" ObjectID="_1468075728" r:id="rId34">
            <o:LockedField>false</o:LockedField>
          </o:OLEObject>
        </w:object>
      </w:r>
    </w:p>
    <w:p>
      <w:pPr>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eastAsia="zh-CN"/>
        </w:rPr>
        <w:t>图</w:t>
      </w:r>
      <w:r>
        <w:rPr>
          <w:rFonts w:hint="eastAsia" w:ascii="宋体" w:hAnsi="宋体" w:eastAsia="宋体" w:cs="宋体"/>
          <w:sz w:val="24"/>
          <w:szCs w:val="24"/>
          <w:lang w:val="en-US" w:eastAsia="zh-CN"/>
        </w:rPr>
        <w:t>3.5-2 中水来源</w:t>
      </w:r>
      <w:r>
        <w:rPr>
          <w:rFonts w:hint="eastAsia" w:ascii="宋体" w:hAnsi="宋体" w:cs="宋体"/>
          <w:sz w:val="24"/>
          <w:szCs w:val="24"/>
          <w:lang w:val="en-US" w:eastAsia="zh-CN"/>
        </w:rPr>
        <w:t>图</w:t>
      </w:r>
    </w:p>
    <w:p>
      <w:pPr>
        <w:pStyle w:val="5"/>
        <w:rPr>
          <w:rFonts w:ascii="Times New Roman" w:hAnsi="Times New Roman" w:cs="Times New Roman"/>
          <w:sz w:val="24"/>
          <w:szCs w:val="24"/>
        </w:rPr>
      </w:pPr>
      <w:r>
        <w:rPr>
          <w:rFonts w:ascii="Times New Roman" w:hAnsi="Times New Roman" w:cs="Times New Roman"/>
          <w:sz w:val="24"/>
          <w:szCs w:val="24"/>
        </w:rPr>
        <w:t>3.</w:t>
      </w:r>
      <w:r>
        <w:rPr>
          <w:rFonts w:hint="eastAsia" w:ascii="Times New Roman" w:hAnsi="Times New Roman" w:cs="Times New Roman"/>
          <w:sz w:val="24"/>
          <w:szCs w:val="24"/>
          <w:lang w:val="en-US" w:eastAsia="zh-CN"/>
        </w:rPr>
        <w:t>6</w:t>
      </w:r>
      <w:r>
        <w:rPr>
          <w:rFonts w:hint="eastAsia" w:ascii="Times New Roman" w:hAnsi="Times New Roman" w:cs="Times New Roman"/>
          <w:sz w:val="24"/>
          <w:szCs w:val="24"/>
          <w:lang w:eastAsia="zh-CN"/>
        </w:rPr>
        <w:t>污水处理</w:t>
      </w:r>
      <w:r>
        <w:rPr>
          <w:rFonts w:ascii="Times New Roman" w:hAnsi="Times New Roman" w:cs="Times New Roman"/>
          <w:sz w:val="24"/>
          <w:szCs w:val="24"/>
        </w:rPr>
        <w:t>工艺</w:t>
      </w:r>
      <w:bookmarkEnd w:id="35"/>
    </w:p>
    <w:p>
      <w:pPr>
        <w:pStyle w:val="30"/>
        <w:spacing w:line="341" w:lineRule="auto"/>
        <w:ind w:left="0" w:leftChars="0" w:firstLine="0" w:firstLineChars="0"/>
        <w:rPr>
          <w:rFonts w:hint="eastAsia" w:ascii="Times New Roman" w:hAnsi="Times New Roman" w:eastAsia="宋体" w:cs="Times New Roman"/>
          <w:szCs w:val="24"/>
          <w:lang w:val="en-US" w:eastAsia="zh-CN"/>
        </w:rPr>
      </w:pPr>
      <w:r>
        <w:rPr>
          <w:rFonts w:hint="eastAsia" w:ascii="Times New Roman" w:hAnsi="Times New Roman" w:cs="Times New Roman"/>
          <w:szCs w:val="24"/>
          <w:lang w:val="en-US" w:eastAsia="zh-CN"/>
        </w:rPr>
        <w:t>3.6.1 废水处理站处理工艺</w:t>
      </w:r>
    </w:p>
    <w:p>
      <w:pPr>
        <w:spacing w:line="360" w:lineRule="auto"/>
        <w:ind w:firstLine="480" w:firstLineChars="200"/>
        <w:rPr>
          <w:sz w:val="24"/>
        </w:rPr>
      </w:pPr>
      <w:bookmarkStart w:id="36" w:name="_Toc420506063"/>
      <w:r>
        <w:rPr>
          <w:sz w:val="24"/>
        </w:rPr>
        <w:t>1．废水预处理段</w:t>
      </w:r>
      <w:bookmarkEnd w:id="36"/>
    </w:p>
    <w:p>
      <w:pPr>
        <w:spacing w:line="360" w:lineRule="auto"/>
        <w:ind w:firstLine="480" w:firstLineChars="200"/>
        <w:rPr>
          <w:sz w:val="24"/>
        </w:rPr>
      </w:pPr>
      <w:r>
        <w:rPr>
          <w:sz w:val="24"/>
        </w:rPr>
        <w:t>（1）气化废水、含硫废水预处理工艺</w:t>
      </w:r>
    </w:p>
    <w:p>
      <w:pPr>
        <w:spacing w:line="360" w:lineRule="auto"/>
        <w:ind w:firstLine="480" w:firstLineChars="200"/>
        <w:rPr>
          <w:sz w:val="24"/>
        </w:rPr>
      </w:pPr>
      <w:r>
        <w:rPr>
          <w:sz w:val="24"/>
        </w:rPr>
        <w:t>气化废水含有浓度较高的硬度和碱度，为防止在管道、设备及构筑物中结垢，影响设备运行，减少装置使用寿命，增加检修频次，必须对气化废水进行软化预处理。由于灰水中含有Ca</w:t>
      </w:r>
      <w:r>
        <w:rPr>
          <w:sz w:val="24"/>
          <w:vertAlign w:val="superscript"/>
        </w:rPr>
        <w:t>2+</w:t>
      </w:r>
      <w:r>
        <w:rPr>
          <w:sz w:val="24"/>
        </w:rPr>
        <w:t>、Mg</w:t>
      </w:r>
      <w:r>
        <w:rPr>
          <w:sz w:val="24"/>
          <w:vertAlign w:val="superscript"/>
        </w:rPr>
        <w:t>2+</w:t>
      </w:r>
      <w:r>
        <w:rPr>
          <w:sz w:val="24"/>
        </w:rPr>
        <w:t>、CO</w:t>
      </w:r>
      <w:r>
        <w:rPr>
          <w:sz w:val="24"/>
          <w:vertAlign w:val="subscript"/>
        </w:rPr>
        <w:t>3</w:t>
      </w:r>
      <w:r>
        <w:rPr>
          <w:sz w:val="24"/>
          <w:vertAlign w:val="superscript"/>
        </w:rPr>
        <w:t>2-</w:t>
      </w:r>
      <w:r>
        <w:rPr>
          <w:sz w:val="24"/>
        </w:rPr>
        <w:t>、HCO</w:t>
      </w:r>
      <w:r>
        <w:rPr>
          <w:sz w:val="24"/>
          <w:vertAlign w:val="subscript"/>
        </w:rPr>
        <w:t>3</w:t>
      </w:r>
      <w:r>
        <w:rPr>
          <w:sz w:val="24"/>
          <w:vertAlign w:val="superscript"/>
        </w:rPr>
        <w:t>-</w:t>
      </w:r>
      <w:r>
        <w:rPr>
          <w:sz w:val="24"/>
        </w:rPr>
        <w:t>、NH</w:t>
      </w:r>
      <w:r>
        <w:rPr>
          <w:sz w:val="24"/>
          <w:vertAlign w:val="subscript"/>
        </w:rPr>
        <w:t>4</w:t>
      </w:r>
      <w:r>
        <w:rPr>
          <w:sz w:val="24"/>
          <w:vertAlign w:val="superscript"/>
        </w:rPr>
        <w:t>+</w:t>
      </w:r>
      <w:r>
        <w:rPr>
          <w:sz w:val="24"/>
        </w:rPr>
        <w:t>等离子，考虑在预处理段投加磷酸盐和液碱，控制合适的pH，可生成碳酸钙、氢氧化镁、羟基磷酸钙、磷酸铵镁等不溶物得以去除，同时还可以起到补充磷盐的作用。</w:t>
      </w:r>
    </w:p>
    <w:p>
      <w:pPr>
        <w:spacing w:line="360" w:lineRule="auto"/>
        <w:ind w:firstLine="480" w:firstLineChars="200"/>
        <w:rPr>
          <w:sz w:val="24"/>
        </w:rPr>
      </w:pPr>
      <w:r>
        <w:rPr>
          <w:sz w:val="24"/>
        </w:rPr>
        <w:t>（2）双醋废水的预处理</w:t>
      </w:r>
    </w:p>
    <w:p>
      <w:pPr>
        <w:spacing w:line="360" w:lineRule="auto"/>
        <w:ind w:firstLine="480" w:firstLineChars="200"/>
        <w:rPr>
          <w:sz w:val="24"/>
        </w:rPr>
      </w:pPr>
      <w:r>
        <w:rPr>
          <w:sz w:val="24"/>
        </w:rPr>
        <w:t>双醋废水中含有浓度较高的醋酸及醋酸的衍生物，pH较低，在预处理阶段需要调节pH至中性再进入生化工段。</w:t>
      </w:r>
    </w:p>
    <w:p>
      <w:pPr>
        <w:spacing w:line="360" w:lineRule="auto"/>
        <w:ind w:firstLine="480" w:firstLineChars="200"/>
        <w:rPr>
          <w:sz w:val="24"/>
        </w:rPr>
      </w:pPr>
      <w:bookmarkStart w:id="37" w:name="_Toc420506064"/>
      <w:r>
        <w:rPr>
          <w:sz w:val="24"/>
        </w:rPr>
        <w:t>2．生化工段</w:t>
      </w:r>
      <w:bookmarkEnd w:id="37"/>
    </w:p>
    <w:p>
      <w:pPr>
        <w:spacing w:line="360" w:lineRule="auto"/>
        <w:ind w:firstLine="480" w:firstLineChars="200"/>
        <w:rPr>
          <w:sz w:val="24"/>
        </w:rPr>
      </w:pPr>
      <w:r>
        <w:rPr>
          <w:sz w:val="24"/>
        </w:rPr>
        <w:t>生化工艺是废水处理站扩能装置的关键工艺，直接关系到COD、氨氮的去除效果，所以生化工艺的选择尤为重要。目前脱氮效果较好的生化处理常用工艺主要有SBR工艺或其变形工艺、氧化沟工艺及缺氧/好氧（A/O）工艺等。</w:t>
      </w:r>
    </w:p>
    <w:p>
      <w:pPr>
        <w:snapToGrid w:val="0"/>
        <w:spacing w:line="360" w:lineRule="auto"/>
        <w:ind w:firstLine="480" w:firstLineChars="200"/>
        <w:rPr>
          <w:sz w:val="24"/>
        </w:rPr>
      </w:pPr>
      <w:r>
        <w:rPr>
          <w:sz w:val="24"/>
        </w:rPr>
        <w:t>根据陕西渭河煤化工集团有限责任公司现有三套污水处理装置以及国内现有气化炉废水处理经验，本项目生化工艺选择SBR法，可有效去除废水中COD、氨氮及总氮等污染物。</w:t>
      </w:r>
    </w:p>
    <w:p>
      <w:pPr>
        <w:spacing w:line="360" w:lineRule="auto"/>
        <w:ind w:firstLine="480" w:firstLineChars="200"/>
        <w:rPr>
          <w:sz w:val="24"/>
        </w:rPr>
      </w:pPr>
      <w:r>
        <w:rPr>
          <w:sz w:val="24"/>
        </w:rPr>
        <w:t>SBR工艺又称序批式活性污泥法，在同一个反应器中完成进水、反应、沉淀、排水、排泥、闲置等工序，通过对缺氧、好氧的过程控制，达到去除BOD、硝化、脱除总氮的目的。</w:t>
      </w:r>
    </w:p>
    <w:p>
      <w:pPr>
        <w:spacing w:line="360" w:lineRule="auto"/>
        <w:ind w:firstLine="480" w:firstLineChars="200"/>
        <w:rPr>
          <w:sz w:val="24"/>
        </w:rPr>
      </w:pPr>
      <w:r>
        <w:rPr>
          <w:sz w:val="24"/>
        </w:rPr>
        <w:t>SBR工艺的运行工况是以间歇操作为主要特征的，由于多数情况下污水都是连续排放且流量的变化比较大，这时SBR池为多池运行，污水连续按序列进入每个反应器，每池在运行的相对关系上是次序的，也是间歇的。在每个运行周期中，各个阶段的运行时间、反应器内混合液体积的变化及运行状态都可以根据具体污水性质、出水质量及运行功能等要求灵活掌握。对于某一单一SBR反应池来说，不存在空间上控制障碍，只在时间上进行有效的控制和变换即能达到多种功能要求，是非常灵活的。</w:t>
      </w:r>
    </w:p>
    <w:p>
      <w:pPr>
        <w:spacing w:line="360" w:lineRule="auto"/>
        <w:ind w:firstLine="480" w:firstLineChars="200"/>
        <w:rPr>
          <w:sz w:val="24"/>
        </w:rPr>
      </w:pPr>
      <w:r>
        <w:rPr>
          <w:sz w:val="24"/>
        </w:rPr>
        <w:t>SBR工艺具有以下优点：</w:t>
      </w:r>
    </w:p>
    <w:p>
      <w:pPr>
        <w:spacing w:line="360" w:lineRule="auto"/>
        <w:ind w:firstLine="480" w:firstLineChars="200"/>
        <w:rPr>
          <w:sz w:val="24"/>
        </w:rPr>
      </w:pPr>
      <w:r>
        <w:rPr>
          <w:sz w:val="24"/>
        </w:rPr>
        <w:t>①工艺流程简单，节省基建费用与运行费用；</w:t>
      </w:r>
    </w:p>
    <w:p>
      <w:pPr>
        <w:spacing w:line="360" w:lineRule="auto"/>
        <w:ind w:firstLine="480" w:firstLineChars="200"/>
        <w:rPr>
          <w:sz w:val="24"/>
        </w:rPr>
      </w:pPr>
      <w:r>
        <w:rPr>
          <w:sz w:val="24"/>
        </w:rPr>
        <w:t>②运行方式灵活、脱氮效果好；</w:t>
      </w:r>
    </w:p>
    <w:p>
      <w:pPr>
        <w:spacing w:line="360" w:lineRule="auto"/>
        <w:ind w:firstLine="480" w:firstLineChars="200"/>
        <w:rPr>
          <w:sz w:val="24"/>
        </w:rPr>
      </w:pPr>
      <w:r>
        <w:rPr>
          <w:sz w:val="24"/>
        </w:rPr>
        <w:t>③SBR工艺沉淀方式属于理想的静止沉淀方式，沉淀效果好；</w:t>
      </w:r>
    </w:p>
    <w:p>
      <w:pPr>
        <w:spacing w:line="360" w:lineRule="auto"/>
        <w:ind w:firstLine="480" w:firstLineChars="200"/>
        <w:rPr>
          <w:sz w:val="24"/>
        </w:rPr>
      </w:pPr>
      <w:r>
        <w:rPr>
          <w:sz w:val="24"/>
        </w:rPr>
        <w:t>④能够防止污泥膨胀；</w:t>
      </w:r>
    </w:p>
    <w:p>
      <w:pPr>
        <w:spacing w:line="360" w:lineRule="auto"/>
        <w:ind w:firstLine="480" w:firstLineChars="200"/>
        <w:rPr>
          <w:sz w:val="24"/>
        </w:rPr>
      </w:pPr>
      <w:r>
        <w:rPr>
          <w:sz w:val="24"/>
        </w:rPr>
        <w:t>⑤耐冲击负荷大、处理有毒或者高浓度有机废水能力强。</w:t>
      </w:r>
    </w:p>
    <w:p>
      <w:pPr>
        <w:pStyle w:val="30"/>
        <w:spacing w:line="341" w:lineRule="auto"/>
        <w:ind w:firstLine="480"/>
        <w:rPr>
          <w:rFonts w:ascii="Times New Roman" w:hAnsi="Times New Roman" w:cs="Times New Roman"/>
        </w:rPr>
      </w:pPr>
      <w:r>
        <w:rPr>
          <w:rFonts w:ascii="Times New Roman" w:hAnsi="Times New Roman" w:cs="Times New Roman"/>
          <w:szCs w:val="24"/>
        </w:rPr>
        <w:t>本项目</w:t>
      </w:r>
      <w:r>
        <w:rPr>
          <w:sz w:val="24"/>
        </w:rPr>
        <w:t>废水处理工艺流程图</w:t>
      </w:r>
      <w:r>
        <w:rPr>
          <w:rFonts w:ascii="Times New Roman" w:hAnsi="Times New Roman" w:cs="Times New Roman"/>
          <w:szCs w:val="24"/>
        </w:rPr>
        <w:t>见图3.</w:t>
      </w:r>
      <w:r>
        <w:rPr>
          <w:rFonts w:hint="eastAsia" w:ascii="Times New Roman" w:hAnsi="Times New Roman" w:cs="Times New Roman"/>
          <w:szCs w:val="24"/>
          <w:lang w:val="en-US" w:eastAsia="zh-CN"/>
        </w:rPr>
        <w:t>6</w:t>
      </w:r>
      <w:r>
        <w:rPr>
          <w:rFonts w:ascii="Times New Roman" w:hAnsi="Times New Roman" w:cs="Times New Roman"/>
          <w:szCs w:val="24"/>
        </w:rPr>
        <w:t>-1。</w:t>
      </w:r>
    </w:p>
    <w:p>
      <w:pPr>
        <w:widowControl/>
        <w:jc w:val="center"/>
      </w:pPr>
      <w:r>
        <w:rPr>
          <w:rFonts w:ascii="Calibri" w:hAnsi="Calibri" w:eastAsia="宋体" w:cs="黑体"/>
          <w:kern w:val="2"/>
          <w:sz w:val="21"/>
          <w:szCs w:val="24"/>
          <w:lang w:val="en-US" w:eastAsia="zh-CN" w:bidi="ar-SA"/>
        </w:rPr>
        <w:object>
          <v:shape id="_x0000_i1032" o:spt="75" type="#_x0000_t75" style="height:444.2pt;width:416pt;" o:ole="t" fillcolor="#FFFFFF" filled="f" o:preferrelative="t" stroked="f" coordsize="21600,21600">
            <v:path/>
            <v:fill on="f" color2="#FFFFFF" focussize="0,0"/>
            <v:stroke on="f"/>
            <v:imagedata r:id="rId37" gain="65536f" blacklevel="0f" gamma="0" o:title=""/>
            <o:lock v:ext="edit" position="f" selection="f" grouping="f" rotation="f" cropping="f" text="f" aspectratio="t"/>
            <w10:wrap type="none"/>
            <w10:anchorlock/>
          </v:shape>
          <o:OLEObject Type="Embed" ProgID="" ShapeID="_x0000_i1032" DrawAspect="Content" ObjectID="_1468075729" r:id="rId36">
            <o:LockedField>false</o:LockedField>
          </o:OLEObject>
        </w:object>
      </w:r>
    </w:p>
    <w:p>
      <w:pPr>
        <w:spacing w:beforeLines="50" w:afterLines="50"/>
        <w:jc w:val="center"/>
        <w:rPr>
          <w:sz w:val="24"/>
        </w:rPr>
      </w:pPr>
      <w:r>
        <w:rPr>
          <w:rFonts w:ascii="Times New Roman" w:hAnsi="Times New Roman" w:eastAsia="黑体" w:cs="Times New Roman"/>
          <w:sz w:val="24"/>
        </w:rPr>
        <w:t>图3.</w:t>
      </w:r>
      <w:r>
        <w:rPr>
          <w:rFonts w:hint="eastAsia" w:ascii="Times New Roman" w:hAnsi="Times New Roman" w:eastAsia="黑体" w:cs="Times New Roman"/>
          <w:sz w:val="24"/>
          <w:lang w:val="en-US" w:eastAsia="zh-CN"/>
        </w:rPr>
        <w:t>6</w:t>
      </w:r>
      <w:r>
        <w:rPr>
          <w:rFonts w:ascii="Times New Roman" w:hAnsi="Times New Roman" w:eastAsia="黑体" w:cs="Times New Roman"/>
          <w:sz w:val="24"/>
        </w:rPr>
        <w:t xml:space="preserve">-1  </w:t>
      </w:r>
      <w:r>
        <w:rPr>
          <w:sz w:val="24"/>
        </w:rPr>
        <w:t>废水处理工艺流程图</w:t>
      </w:r>
    </w:p>
    <w:p>
      <w:pPr>
        <w:pStyle w:val="5"/>
        <w:rPr>
          <w:rFonts w:hint="eastAsia" w:eastAsia="宋体"/>
          <w:lang w:val="en-US" w:eastAsia="zh-CN"/>
        </w:rPr>
      </w:pPr>
      <w:r>
        <w:rPr>
          <w:rFonts w:hint="eastAsia"/>
          <w:b w:val="0"/>
          <w:bCs w:val="0"/>
          <w:sz w:val="24"/>
          <w:lang w:val="en-US" w:eastAsia="zh-CN"/>
        </w:rPr>
        <w:t>3.6.2 中水处理工艺</w:t>
      </w:r>
    </w:p>
    <w:p>
      <w:pPr>
        <w:spacing w:beforeLines="50" w:afterLines="50" w:line="360" w:lineRule="auto"/>
        <w:ind w:firstLine="480" w:firstLineChars="200"/>
        <w:jc w:val="both"/>
        <w:rPr>
          <w:rFonts w:hint="eastAsia" w:ascii="宋体" w:hAnsi="宋体" w:eastAsia="宋体" w:cs="宋体"/>
          <w:sz w:val="24"/>
        </w:rPr>
      </w:pPr>
      <w:bookmarkStart w:id="38" w:name="_Toc408241697"/>
      <w:bookmarkStart w:id="39" w:name="_Toc420506103"/>
      <w:bookmarkStart w:id="40" w:name="_Toc402282440"/>
      <w:r>
        <w:rPr>
          <w:rFonts w:hint="eastAsia" w:ascii="宋体" w:hAnsi="宋体" w:eastAsia="宋体" w:cs="宋体"/>
          <w:sz w:val="24"/>
        </w:rPr>
        <w:t>1.机械加速澄清池</w:t>
      </w:r>
      <w:bookmarkEnd w:id="38"/>
      <w:bookmarkEnd w:id="39"/>
      <w:bookmarkEnd w:id="40"/>
    </w:p>
    <w:p>
      <w:pPr>
        <w:spacing w:beforeLines="50" w:afterLines="50" w:line="360" w:lineRule="auto"/>
        <w:ind w:firstLine="480" w:firstLineChars="200"/>
        <w:jc w:val="both"/>
        <w:rPr>
          <w:rFonts w:hint="eastAsia" w:ascii="宋体" w:hAnsi="宋体" w:eastAsia="宋体" w:cs="宋体"/>
          <w:sz w:val="24"/>
        </w:rPr>
      </w:pPr>
      <w:r>
        <w:rPr>
          <w:rFonts w:hint="eastAsia" w:ascii="宋体" w:hAnsi="宋体" w:eastAsia="宋体" w:cs="宋体"/>
          <w:sz w:val="24"/>
        </w:rPr>
        <w:t>在机械加速澄清池选用软化投加药剂，药剂主要包括PAC、液碱和碳酸钠。采用加药泵投加，易于调节，操作方法简单。机械加速澄清池采用线板蜂窝隔板反应池，该池反应效果好，构造简单，施工方便。污泥斗用来积聚沉淀下来的污泥，设在池体前端的池底以下，斗底有排泥管，定期排泥。</w:t>
      </w:r>
    </w:p>
    <w:p>
      <w:pPr>
        <w:spacing w:beforeLines="50" w:afterLines="50"/>
        <w:jc w:val="center"/>
        <w:rPr>
          <w:rFonts w:ascii="Times New Roman" w:hAnsi="Times New Roman" w:eastAsia="黑体" w:cs="Times New Roman"/>
          <w:sz w:val="24"/>
        </w:rPr>
      </w:pPr>
      <w:r>
        <w:rPr>
          <w:rFonts w:ascii="Times New Roman" w:hAnsi="Times New Roman" w:eastAsia="黑体" w:cs="Times New Roman"/>
          <w:kern w:val="2"/>
          <w:sz w:val="24"/>
          <w:szCs w:val="24"/>
          <w:lang w:val="en-US" w:eastAsia="zh-CN" w:bidi="ar-SA"/>
        </w:rPr>
        <w:pict>
          <v:shape id="_x0000_i1033" o:spt="75" type="#_x0000_t75" style="height:206.1pt;width:373.15pt;" fillcolor="#FFFFFF" filled="f" o:preferrelative="t" stroked="f" coordsize="21600,21600">
            <v:path/>
            <v:fill on="f" color2="#FFFFFF" focussize="0,0"/>
            <v:stroke on="f"/>
            <v:imagedata r:id="rId38" gain="65536f" blacklevel="0f" gamma="0" o:title=""/>
            <o:lock v:ext="edit" position="f" selection="f" grouping="f" rotation="f" cropping="f" text="f" aspectratio="t"/>
            <w10:wrap type="none"/>
            <w10:anchorlock/>
          </v:shape>
        </w:pict>
      </w:r>
    </w:p>
    <w:p>
      <w:pPr>
        <w:spacing w:beforeLines="50" w:afterLines="50" w:line="360" w:lineRule="auto"/>
        <w:jc w:val="center"/>
        <w:rPr>
          <w:rFonts w:hint="eastAsia" w:ascii="宋体" w:hAnsi="宋体" w:eastAsia="宋体" w:cs="宋体"/>
          <w:sz w:val="24"/>
          <w:szCs w:val="24"/>
        </w:rPr>
      </w:pPr>
      <w:r>
        <w:rPr>
          <w:rFonts w:hint="eastAsia" w:ascii="宋体" w:hAnsi="宋体" w:eastAsia="宋体" w:cs="宋体"/>
          <w:sz w:val="24"/>
          <w:szCs w:val="24"/>
        </w:rPr>
        <w:t>图3.</w:t>
      </w:r>
      <w:r>
        <w:rPr>
          <w:rFonts w:hint="eastAsia" w:ascii="宋体" w:hAnsi="宋体" w:eastAsia="宋体" w:cs="宋体"/>
          <w:sz w:val="24"/>
          <w:szCs w:val="24"/>
          <w:lang w:val="en-US" w:eastAsia="zh-CN"/>
        </w:rPr>
        <w:t>6-2</w:t>
      </w:r>
      <w:r>
        <w:rPr>
          <w:rFonts w:hint="eastAsia" w:ascii="宋体" w:hAnsi="宋体" w:eastAsia="宋体" w:cs="宋体"/>
          <w:sz w:val="24"/>
          <w:szCs w:val="24"/>
        </w:rPr>
        <w:t xml:space="preserve">    机械加速澄清池结构示意图</w:t>
      </w:r>
    </w:p>
    <w:p>
      <w:pPr>
        <w:spacing w:beforeLines="50" w:afterLines="50" w:line="360" w:lineRule="auto"/>
        <w:ind w:firstLine="480" w:firstLineChars="200"/>
        <w:jc w:val="both"/>
        <w:rPr>
          <w:rFonts w:hint="eastAsia" w:ascii="宋体" w:hAnsi="宋体" w:eastAsia="宋体" w:cs="宋体"/>
          <w:sz w:val="24"/>
          <w:szCs w:val="24"/>
        </w:rPr>
      </w:pPr>
      <w:bookmarkStart w:id="41" w:name="_Toc402282441"/>
      <w:bookmarkStart w:id="42" w:name="_Toc408241698"/>
      <w:bookmarkStart w:id="43" w:name="_Toc420506104"/>
      <w:r>
        <w:rPr>
          <w:rFonts w:hint="eastAsia" w:ascii="宋体" w:hAnsi="宋体" w:eastAsia="宋体" w:cs="宋体"/>
          <w:sz w:val="24"/>
          <w:szCs w:val="24"/>
        </w:rPr>
        <w:t>2.无阀滤池</w:t>
      </w:r>
      <w:bookmarkEnd w:id="41"/>
      <w:bookmarkEnd w:id="42"/>
      <w:bookmarkEnd w:id="43"/>
    </w:p>
    <w:p>
      <w:pPr>
        <w:spacing w:beforeLines="50" w:afterLines="50" w:line="360" w:lineRule="auto"/>
        <w:ind w:firstLine="480" w:firstLineChars="200"/>
        <w:jc w:val="both"/>
        <w:rPr>
          <w:rFonts w:hint="eastAsia" w:ascii="宋体" w:hAnsi="宋体" w:eastAsia="宋体" w:cs="宋体"/>
          <w:sz w:val="24"/>
          <w:szCs w:val="24"/>
        </w:rPr>
      </w:pPr>
      <w:r>
        <w:rPr>
          <w:rFonts w:hint="eastAsia" w:ascii="宋体" w:hAnsi="宋体" w:eastAsia="宋体" w:cs="宋体"/>
          <w:sz w:val="24"/>
          <w:szCs w:val="24"/>
        </w:rPr>
        <w:t>无阀滤池，一种不用阀门切换过滤与反冲洗过程的</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HYPERLINK "http://baike.baidu.com/view/665667.htm" \t "_blank"</w:instrText>
      </w:r>
      <w:r>
        <w:rPr>
          <w:rFonts w:hint="eastAsia" w:ascii="宋体" w:hAnsi="宋体" w:eastAsia="宋体" w:cs="宋体"/>
          <w:sz w:val="24"/>
          <w:szCs w:val="24"/>
        </w:rPr>
        <w:fldChar w:fldCharType="separate"/>
      </w:r>
      <w:r>
        <w:rPr>
          <w:rFonts w:hint="eastAsia" w:ascii="宋体" w:hAnsi="宋体" w:eastAsia="宋体" w:cs="宋体"/>
          <w:sz w:val="24"/>
          <w:szCs w:val="24"/>
        </w:rPr>
        <w:t>快滤池</w:t>
      </w:r>
      <w:r>
        <w:rPr>
          <w:rFonts w:hint="eastAsia" w:ascii="宋体" w:hAnsi="宋体" w:eastAsia="宋体" w:cs="宋体"/>
          <w:sz w:val="24"/>
          <w:szCs w:val="24"/>
        </w:rPr>
        <w:fldChar w:fldCharType="end"/>
      </w:r>
      <w:r>
        <w:rPr>
          <w:rFonts w:hint="eastAsia" w:ascii="宋体" w:hAnsi="宋体" w:eastAsia="宋体" w:cs="宋体"/>
          <w:sz w:val="24"/>
          <w:szCs w:val="24"/>
        </w:rPr>
        <w:t>，由滤池本体、进水装置、虹吸装置三部分组成，不是没有阀门的快滤池。在运行过程中，出水水位保持恒定，进水水位则随滤层的水头损失增加而不断在吸管内上升，当水位上升到虹吸管管顶，并形成虹吸时，即自动开始滤层反冲洗，冲洗废水沿虹吸管排出池外；其功能为保证进入膜系统的水质。</w:t>
      </w:r>
    </w:p>
    <w:p>
      <w:pPr>
        <w:spacing w:beforeLines="50" w:afterLines="50"/>
        <w:jc w:val="center"/>
        <w:rPr>
          <w:rFonts w:ascii="Times New Roman" w:hAnsi="Times New Roman" w:eastAsia="黑体" w:cs="Times New Roman"/>
          <w:sz w:val="24"/>
        </w:rPr>
      </w:pPr>
      <w:r>
        <w:rPr>
          <w:rFonts w:ascii="Times New Roman" w:hAnsi="Times New Roman" w:eastAsia="黑体" w:cs="Times New Roman"/>
          <w:kern w:val="2"/>
          <w:sz w:val="24"/>
          <w:szCs w:val="24"/>
          <w:lang w:val="en-US" w:eastAsia="zh-CN" w:bidi="ar-SA"/>
        </w:rPr>
        <w:pict>
          <v:shape id="_x0000_i1034" o:spt="75" type="#_x0000_t75" style="height:219.6pt;width:308.35pt;" fillcolor="#FFFFFF" filled="f" o:preferrelative="t" stroked="f" coordsize="21600,21600">
            <v:path/>
            <v:fill on="f" color2="#FFFFFF" focussize="0,0"/>
            <v:stroke on="f"/>
            <v:imagedata r:id="rId39" gain="65536f" blacklevel="0f" gamma="0" o:title=""/>
            <o:lock v:ext="edit" position="f" selection="f" grouping="f" rotation="f" cropping="f" text="f" aspectratio="t"/>
            <w10:wrap type="none"/>
            <w10:anchorlock/>
          </v:shape>
        </w:pict>
      </w:r>
    </w:p>
    <w:p>
      <w:pPr>
        <w:spacing w:beforeLines="50" w:afterLines="50" w:line="360" w:lineRule="auto"/>
        <w:jc w:val="center"/>
        <w:rPr>
          <w:rFonts w:hint="eastAsia" w:ascii="宋体" w:hAnsi="宋体" w:eastAsia="宋体" w:cs="宋体"/>
          <w:sz w:val="24"/>
          <w:szCs w:val="24"/>
        </w:rPr>
      </w:pPr>
      <w:r>
        <w:rPr>
          <w:rFonts w:hint="eastAsia" w:ascii="宋体" w:hAnsi="宋体" w:eastAsia="宋体" w:cs="宋体"/>
          <w:sz w:val="24"/>
          <w:szCs w:val="24"/>
        </w:rPr>
        <w:t>图</w:t>
      </w:r>
      <w:r>
        <w:rPr>
          <w:rFonts w:hint="eastAsia" w:ascii="宋体" w:hAnsi="宋体" w:eastAsia="宋体" w:cs="宋体"/>
          <w:sz w:val="24"/>
          <w:szCs w:val="24"/>
          <w:lang w:val="en-US" w:eastAsia="zh-CN"/>
        </w:rPr>
        <w:t>3.6-3</w:t>
      </w:r>
      <w:r>
        <w:rPr>
          <w:rFonts w:hint="eastAsia" w:ascii="宋体" w:hAnsi="宋体" w:eastAsia="宋体" w:cs="宋体"/>
          <w:sz w:val="24"/>
          <w:szCs w:val="24"/>
        </w:rPr>
        <w:t xml:space="preserve">    重力无阀滤池结构示意图</w:t>
      </w:r>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sz w:val="24"/>
          <w:szCs w:val="24"/>
        </w:rPr>
      </w:pPr>
      <w:bookmarkStart w:id="44" w:name="_Toc420506105"/>
      <w:bookmarkStart w:id="45" w:name="_Toc408241699"/>
      <w:r>
        <w:rPr>
          <w:rFonts w:hint="eastAsia" w:ascii="宋体" w:hAnsi="宋体" w:eastAsia="宋体" w:cs="宋体"/>
          <w:sz w:val="24"/>
          <w:szCs w:val="24"/>
        </w:rPr>
        <w:t>3.多介质过滤器</w:t>
      </w:r>
      <w:bookmarkEnd w:id="44"/>
      <w:bookmarkEnd w:id="45"/>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多介质过滤器是利用一种或几种过滤介质，在一定的压力下把浊度较高的水通过一定厚度的粒状或非粒材料，从而有效的除去悬浮杂质使水澄清的过程，常用的滤料有石英砂，无烟煤，锰砂等，主要用于水处理除浊，软化水，纯水的前级预处理等，出水浊度可达3度以下，用于保护超滤膜。</w:t>
      </w:r>
    </w:p>
    <w:p>
      <w:pPr>
        <w:widowControl w:val="0"/>
        <w:wordWrap/>
        <w:adjustRightInd/>
        <w:snapToGrid w:val="0"/>
        <w:spacing w:beforeLines="50" w:afterLines="50" w:line="360" w:lineRule="auto"/>
        <w:ind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设备是压力式的，其原理是当原水自上而下通过滤料时，水中悬浮物由于吸附和机械阻流作用被滤层表面截留下来；当水流进滤层中间时，由于滤料层中的砂粒排列的更紧密，使水中微粒有更多的机会与砂粒碰撞，于是水中凝絮物、悬浮物和砂粒表面相互粘附，水中杂质截留在滤料层中，从而得到澄清的水质。经过滤后的出水悬浮物可在5mg/L以下。</w:t>
      </w:r>
    </w:p>
    <w:p>
      <w:pPr>
        <w:spacing w:beforeLines="50" w:afterLines="50"/>
        <w:jc w:val="center"/>
        <w:rPr>
          <w:rFonts w:ascii="Times New Roman" w:hAnsi="Times New Roman" w:eastAsia="黑体" w:cs="Times New Roman"/>
          <w:sz w:val="24"/>
        </w:rPr>
      </w:pPr>
      <w:r>
        <w:rPr>
          <w:rFonts w:ascii="Times New Roman" w:hAnsi="Times New Roman" w:eastAsia="黑体" w:cs="Times New Roman"/>
          <w:kern w:val="2"/>
          <w:sz w:val="24"/>
          <w:szCs w:val="24"/>
          <w:lang w:val="en-US" w:eastAsia="zh-CN" w:bidi="ar-SA"/>
        </w:rPr>
        <w:pict>
          <v:shape id="_x0000_i1035" o:spt="75" type="#_x0000_t75" style="height:258.4pt;width:327pt;" fillcolor="#FFFFFF" filled="f" o:preferrelative="t" stroked="f" coordsize="21600,21600">
            <v:path/>
            <v:fill on="f" color2="#FFFFFF" focussize="0,0"/>
            <v:stroke on="f"/>
            <v:imagedata r:id="rId40" gain="65536f" blacklevel="0f" gamma="0" o:title=""/>
            <o:lock v:ext="edit" position="f" selection="f" grouping="f" rotation="f" cropping="f" text="f" aspectratio="t"/>
            <w10:wrap type="none"/>
            <w10:anchorlock/>
          </v:shape>
        </w:pict>
      </w:r>
    </w:p>
    <w:p>
      <w:pPr>
        <w:spacing w:beforeLines="50" w:afterLines="50"/>
        <w:jc w:val="center"/>
        <w:rPr>
          <w:rFonts w:hint="eastAsia" w:ascii="宋体" w:hAnsi="宋体" w:eastAsia="宋体" w:cs="宋体"/>
          <w:sz w:val="24"/>
        </w:rPr>
      </w:pPr>
      <w:r>
        <w:rPr>
          <w:rFonts w:hint="eastAsia" w:ascii="宋体" w:hAnsi="宋体" w:eastAsia="宋体" w:cs="宋体"/>
          <w:sz w:val="24"/>
        </w:rPr>
        <w:t>图</w:t>
      </w:r>
      <w:r>
        <w:rPr>
          <w:rFonts w:hint="eastAsia" w:ascii="宋体" w:hAnsi="宋体" w:eastAsia="宋体" w:cs="宋体"/>
          <w:sz w:val="24"/>
          <w:lang w:val="en-US" w:eastAsia="zh-CN"/>
        </w:rPr>
        <w:t>3.6-4</w:t>
      </w:r>
      <w:r>
        <w:rPr>
          <w:rFonts w:hint="eastAsia" w:ascii="宋体" w:hAnsi="宋体" w:eastAsia="宋体" w:cs="宋体"/>
          <w:sz w:val="24"/>
        </w:rPr>
        <w:t xml:space="preserve">  多介质过滤器结构图</w:t>
      </w:r>
    </w:p>
    <w:p>
      <w:pPr>
        <w:spacing w:beforeLines="50" w:afterLines="50" w:line="360" w:lineRule="auto"/>
        <w:ind w:firstLine="480" w:firstLineChars="200"/>
        <w:jc w:val="both"/>
        <w:rPr>
          <w:rFonts w:hint="eastAsia" w:ascii="宋体" w:hAnsi="宋体" w:eastAsia="宋体" w:cs="宋体"/>
          <w:sz w:val="24"/>
        </w:rPr>
      </w:pPr>
      <w:bookmarkStart w:id="46" w:name="_Toc408241700"/>
      <w:bookmarkStart w:id="47" w:name="_Toc420506106"/>
      <w:r>
        <w:rPr>
          <w:rFonts w:hint="eastAsia" w:ascii="宋体" w:hAnsi="宋体" w:eastAsia="宋体" w:cs="宋体"/>
          <w:sz w:val="24"/>
        </w:rPr>
        <w:t>4.超滤（UF）装置</w:t>
      </w:r>
      <w:bookmarkEnd w:id="46"/>
      <w:bookmarkEnd w:id="47"/>
    </w:p>
    <w:p>
      <w:pPr>
        <w:spacing w:beforeLines="50" w:afterLines="50" w:line="360" w:lineRule="auto"/>
        <w:ind w:firstLine="480" w:firstLineChars="200"/>
        <w:jc w:val="both"/>
        <w:rPr>
          <w:rFonts w:hint="eastAsia" w:ascii="宋体" w:hAnsi="宋体" w:eastAsia="宋体" w:cs="宋体"/>
          <w:sz w:val="24"/>
        </w:rPr>
      </w:pPr>
      <w:r>
        <w:rPr>
          <w:rFonts w:hint="eastAsia" w:ascii="宋体" w:hAnsi="宋体" w:eastAsia="宋体" w:cs="宋体"/>
          <w:sz w:val="24"/>
        </w:rPr>
        <w:t>超滤是一种加压膜分离技术，即在一定的压力下，使小分子溶质和</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"http://baike.baidu.com/view/62561.htm" \t "_blank"</w:instrText>
      </w:r>
      <w:r>
        <w:rPr>
          <w:rFonts w:hint="eastAsia" w:ascii="宋体" w:hAnsi="宋体" w:eastAsia="宋体" w:cs="宋体"/>
          <w:sz w:val="24"/>
        </w:rPr>
        <w:fldChar w:fldCharType="separate"/>
      </w:r>
      <w:r>
        <w:rPr>
          <w:rFonts w:hint="eastAsia" w:ascii="宋体" w:hAnsi="宋体" w:eastAsia="宋体" w:cs="宋体"/>
          <w:sz w:val="24"/>
        </w:rPr>
        <w:t>溶剂</w:t>
      </w:r>
      <w:r>
        <w:rPr>
          <w:rFonts w:hint="eastAsia" w:ascii="宋体" w:hAnsi="宋体" w:eastAsia="宋体" w:cs="宋体"/>
          <w:sz w:val="24"/>
        </w:rPr>
        <w:fldChar w:fldCharType="end"/>
      </w:r>
      <w:r>
        <w:rPr>
          <w:rFonts w:hint="eastAsia" w:ascii="宋体" w:hAnsi="宋体" w:eastAsia="宋体" w:cs="宋体"/>
          <w:sz w:val="24"/>
        </w:rPr>
        <w:t>穿过一定孔径的特制的薄膜，而使大分子溶质不能透过，留在膜的一边，从而使大分子物质得到了部分的纯化。</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"http://baike.baidu.com/view/1194270.htm" \t "_blank"</w:instrText>
      </w:r>
      <w:r>
        <w:rPr>
          <w:rFonts w:hint="eastAsia" w:ascii="宋体" w:hAnsi="宋体" w:eastAsia="宋体" w:cs="宋体"/>
          <w:sz w:val="24"/>
        </w:rPr>
        <w:fldChar w:fldCharType="separate"/>
      </w:r>
      <w:r>
        <w:rPr>
          <w:rFonts w:hint="eastAsia" w:ascii="宋体" w:hAnsi="宋体" w:eastAsia="宋体" w:cs="宋体"/>
          <w:sz w:val="24"/>
        </w:rPr>
        <w:t>超滤原理</w:t>
      </w:r>
      <w:r>
        <w:rPr>
          <w:rFonts w:hint="eastAsia" w:ascii="宋体" w:hAnsi="宋体" w:eastAsia="宋体" w:cs="宋体"/>
          <w:sz w:val="24"/>
        </w:rPr>
        <w:fldChar w:fldCharType="end"/>
      </w:r>
      <w:r>
        <w:rPr>
          <w:rFonts w:hint="eastAsia" w:ascii="宋体" w:hAnsi="宋体" w:eastAsia="宋体" w:cs="宋体"/>
          <w:sz w:val="24"/>
        </w:rPr>
        <w:t>也是一种膜分离过程原理，超滤利用一种压力活性膜，在外界推动力（压力）作用下截留水中胶体、颗粒和分子量相对较高的物质，而水和小的溶质颗粒透过膜的分离过程。通过膜表面的微孔筛选可</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"http://baike.baidu.com/view/2196446.htm" \t "_blank"</w:instrText>
      </w:r>
      <w:r>
        <w:rPr>
          <w:rFonts w:hint="eastAsia" w:ascii="宋体" w:hAnsi="宋体" w:eastAsia="宋体" w:cs="宋体"/>
          <w:sz w:val="24"/>
        </w:rPr>
        <w:fldChar w:fldCharType="separate"/>
      </w:r>
      <w:r>
        <w:rPr>
          <w:rFonts w:hint="eastAsia" w:ascii="宋体" w:hAnsi="宋体" w:eastAsia="宋体" w:cs="宋体"/>
          <w:sz w:val="24"/>
        </w:rPr>
        <w:t>截留分子量</w:t>
      </w:r>
      <w:r>
        <w:rPr>
          <w:rFonts w:hint="eastAsia" w:ascii="宋体" w:hAnsi="宋体" w:eastAsia="宋体" w:cs="宋体"/>
          <w:sz w:val="24"/>
        </w:rPr>
        <w:fldChar w:fldCharType="end"/>
      </w:r>
      <w:r>
        <w:rPr>
          <w:rFonts w:hint="eastAsia" w:ascii="宋体" w:hAnsi="宋体" w:eastAsia="宋体" w:cs="宋体"/>
          <w:sz w:val="24"/>
        </w:rPr>
        <w:t>为3×10000~1×10000的物质。当被处理水借助于外界压力的作用以一定的流速通过膜表面时，水分子和分子量小于300~500的溶质透过膜，而大于膜孔的微粒、</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"http://baike.baidu.com/view/183139.htm" \t "_blank"</w:instrText>
      </w:r>
      <w:r>
        <w:rPr>
          <w:rFonts w:hint="eastAsia" w:ascii="宋体" w:hAnsi="宋体" w:eastAsia="宋体" w:cs="宋体"/>
          <w:sz w:val="24"/>
        </w:rPr>
        <w:fldChar w:fldCharType="separate"/>
      </w:r>
      <w:r>
        <w:rPr>
          <w:rFonts w:hint="eastAsia" w:ascii="宋体" w:hAnsi="宋体" w:eastAsia="宋体" w:cs="宋体"/>
          <w:sz w:val="24"/>
        </w:rPr>
        <w:t>大分子</w:t>
      </w:r>
      <w:r>
        <w:rPr>
          <w:rFonts w:hint="eastAsia" w:ascii="宋体" w:hAnsi="宋体" w:eastAsia="宋体" w:cs="宋体"/>
          <w:sz w:val="24"/>
        </w:rPr>
        <w:fldChar w:fldCharType="end"/>
      </w:r>
      <w:r>
        <w:rPr>
          <w:rFonts w:hint="eastAsia" w:ascii="宋体" w:hAnsi="宋体" w:eastAsia="宋体" w:cs="宋体"/>
          <w:sz w:val="24"/>
        </w:rPr>
        <w:t>等由于筛分作用被截留，从而使水得到净化。也就是说，当水通过超滤膜后，可将水中含有的大部分胶体硅除去，同时可去除大量的</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"http://baike.baidu.com/view/14997.htm" \t "_blank"</w:instrText>
      </w:r>
      <w:r>
        <w:rPr>
          <w:rFonts w:hint="eastAsia" w:ascii="宋体" w:hAnsi="宋体" w:eastAsia="宋体" w:cs="宋体"/>
          <w:sz w:val="24"/>
        </w:rPr>
        <w:fldChar w:fldCharType="separate"/>
      </w:r>
      <w:r>
        <w:rPr>
          <w:rFonts w:hint="eastAsia" w:ascii="宋体" w:hAnsi="宋体" w:eastAsia="宋体" w:cs="宋体"/>
          <w:sz w:val="24"/>
        </w:rPr>
        <w:t>有机物</w:t>
      </w:r>
      <w:r>
        <w:rPr>
          <w:rFonts w:hint="eastAsia" w:ascii="宋体" w:hAnsi="宋体" w:eastAsia="宋体" w:cs="宋体"/>
          <w:sz w:val="24"/>
        </w:rPr>
        <w:fldChar w:fldCharType="end"/>
      </w:r>
      <w:r>
        <w:rPr>
          <w:rFonts w:hint="eastAsia" w:ascii="宋体" w:hAnsi="宋体" w:eastAsia="宋体" w:cs="宋体"/>
          <w:sz w:val="24"/>
        </w:rPr>
        <w:t>等。</w:t>
      </w:r>
    </w:p>
    <w:p>
      <w:pPr>
        <w:spacing w:beforeLines="50" w:afterLines="50" w:line="360" w:lineRule="auto"/>
        <w:jc w:val="both"/>
        <w:rPr>
          <w:rFonts w:hint="eastAsia" w:ascii="宋体" w:hAnsi="宋体" w:eastAsia="宋体" w:cs="宋体"/>
          <w:sz w:val="24"/>
        </w:rPr>
      </w:pPr>
      <w:r>
        <w:rPr>
          <w:rFonts w:hint="eastAsia" w:ascii="宋体" w:hAnsi="宋体" w:eastAsia="宋体" w:cs="宋体"/>
          <w:sz w:val="24"/>
        </w:rPr>
        <w:t>超滤原理并不复杂。在超滤过程中，由于被截留的杂质在膜表面上不断积累，会产生浓差极化现象，当膜面溶质浓度达到某一极限时即生成</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"http://baike.baidu.com/view/1169703.htm" \t "_blank"</w:instrText>
      </w:r>
      <w:r>
        <w:rPr>
          <w:rFonts w:hint="eastAsia" w:ascii="宋体" w:hAnsi="宋体" w:eastAsia="宋体" w:cs="宋体"/>
          <w:sz w:val="24"/>
        </w:rPr>
        <w:fldChar w:fldCharType="separate"/>
      </w:r>
      <w:r>
        <w:rPr>
          <w:rFonts w:hint="eastAsia" w:ascii="宋体" w:hAnsi="宋体" w:eastAsia="宋体" w:cs="宋体"/>
          <w:sz w:val="24"/>
        </w:rPr>
        <w:t>凝胶层</w:t>
      </w:r>
      <w:r>
        <w:rPr>
          <w:rFonts w:hint="eastAsia" w:ascii="宋体" w:hAnsi="宋体" w:eastAsia="宋体" w:cs="宋体"/>
          <w:sz w:val="24"/>
        </w:rPr>
        <w:fldChar w:fldCharType="end"/>
      </w:r>
      <w:r>
        <w:rPr>
          <w:rFonts w:hint="eastAsia" w:ascii="宋体" w:hAnsi="宋体" w:eastAsia="宋体" w:cs="宋体"/>
          <w:sz w:val="24"/>
        </w:rPr>
        <w:t>，使膜的透水量急剧下降，这使得超滤的应用受到一定程度的限制。为此，需通过试验进行研究，以确定最佳的工艺和运行条件，最大限度地减轻浓差极化的影响，使超滤成为一种可靠的</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"http://baike.baidu.com/view/142411.htm" \t "_blank"</w:instrText>
      </w:r>
      <w:r>
        <w:rPr>
          <w:rFonts w:hint="eastAsia" w:ascii="宋体" w:hAnsi="宋体" w:eastAsia="宋体" w:cs="宋体"/>
          <w:sz w:val="24"/>
        </w:rPr>
        <w:fldChar w:fldCharType="separate"/>
      </w:r>
      <w:r>
        <w:rPr>
          <w:rFonts w:hint="eastAsia" w:ascii="宋体" w:hAnsi="宋体" w:eastAsia="宋体" w:cs="宋体"/>
          <w:sz w:val="24"/>
        </w:rPr>
        <w:t>反渗透</w:t>
      </w:r>
      <w:r>
        <w:rPr>
          <w:rFonts w:hint="eastAsia" w:ascii="宋体" w:hAnsi="宋体" w:eastAsia="宋体" w:cs="宋体"/>
          <w:sz w:val="24"/>
        </w:rPr>
        <w:fldChar w:fldCharType="end"/>
      </w:r>
      <w:r>
        <w:rPr>
          <w:rFonts w:hint="eastAsia" w:ascii="宋体" w:hAnsi="宋体" w:eastAsia="宋体" w:cs="宋体"/>
          <w:sz w:val="24"/>
        </w:rPr>
        <w:t>预处理方法。</w:t>
      </w:r>
    </w:p>
    <w:p>
      <w:pPr>
        <w:spacing w:beforeLines="50" w:afterLines="50"/>
        <w:jc w:val="both"/>
        <w:rPr>
          <w:rFonts w:ascii="Times New Roman" w:hAnsi="Times New Roman" w:eastAsia="黑体" w:cs="Times New Roman"/>
          <w:sz w:val="24"/>
        </w:rPr>
      </w:pPr>
    </w:p>
    <w:p>
      <w:pPr>
        <w:spacing w:beforeLines="50" w:afterLines="50"/>
        <w:jc w:val="both"/>
        <w:rPr>
          <w:rFonts w:ascii="Times New Roman" w:hAnsi="Times New Roman" w:eastAsia="黑体" w:cs="Times New Roman"/>
          <w:sz w:val="24"/>
        </w:rPr>
      </w:pPr>
      <w:r>
        <w:rPr>
          <w:rFonts w:ascii="Times New Roman" w:hAnsi="Times New Roman" w:eastAsia="黑体" w:cs="Times New Roman"/>
          <w:kern w:val="2"/>
          <w:sz w:val="24"/>
          <w:szCs w:val="24"/>
          <w:lang w:val="en-US" w:eastAsia="zh-CN" w:bidi="ar-SA"/>
        </w:rPr>
        <w:pict>
          <v:group id="Group 7219" o:spid="_x0000_s2085" o:spt="203" style="position:absolute;left:0pt;margin-left:108.3pt;margin-top:7.8pt;height:116.3pt;width:207.4pt;z-index:251695104;mso-width-relative:page;mso-height-relative:page;" coordorigin="2355,7383" coordsize="3609,2026">
            <o:lock v:ext="edit" position="f" selection="f" grouping="f" rotation="f" cropping="f"/>
            <v:shape id="Picture 7220" o:spid="_x0000_s2086" o:spt="75" type="#_x0000_t75" style="position:absolute;left:2355;top:7383;height:2026;width:3609;" fillcolor="#FFFFFF" filled="f" o:preferrelative="f" stroked="f" coordsize="21600,21600">
              <v:path/>
              <v:fill on="f" color2="#FFFFFF" focussize="0,0"/>
              <v:stroke on="f"/>
              <v:imagedata gain="65536f" blacklevel="0f" gamma="0" o:title=""/>
              <o:lock v:ext="edit" position="f" selection="f" grouping="f" rotation="f" cropping="f" text="t" aspectratio="t"/>
            </v:shape>
            <v:shape id="Oval 13" o:spid="_x0000_s2087" o:spt="3" type="#_x0000_t3" style="position:absolute;left:2597;top:7893;height:1275;width:145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 o:spid="_x0000_s2088" o:spt="3" type="#_x0000_t3" style="position:absolute;left:2818;top:7985;height:40;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 o:spid="_x0000_s2089" o:spt="3" type="#_x0000_t3" style="position:absolute;left:3096;top:7873;height:47;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 o:spid="_x0000_s2090" o:spt="3" type="#_x0000_t3" style="position:absolute;left:3244;top:7855;height:38;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 o:spid="_x0000_s2091" o:spt="3" type="#_x0000_t3" style="position:absolute;left:3325;top:7861;height:39;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 o:spid="_x0000_s2092" o:spt="3" type="#_x0000_t3" style="position:absolute;left:3177;top:7841;height:46;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 o:spid="_x0000_s2093" o:spt="3" type="#_x0000_t3" style="position:absolute;left:3022;top:7887;height:39;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 o:spid="_x0000_s2094" o:spt="3" type="#_x0000_t3" style="position:absolute;left:2935;top:7913;height:7;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 o:spid="_x0000_s2095" o:spt="3" type="#_x0000_t3" style="position:absolute;left:2839;top:7952;height:39;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 o:spid="_x0000_s2096" o:spt="3" type="#_x0000_t3" style="position:absolute;left:2935;top:7926;height:4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 o:spid="_x0000_s2097" o:spt="3" type="#_x0000_t3" style="position:absolute;left:2774;top:8032;height:40;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 o:spid="_x0000_s2098" o:spt="3" type="#_x0000_t3" style="position:absolute;left:2670;top:8084;height:2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 o:spid="_x0000_s2099" o:spt="3" type="#_x0000_t3" style="position:absolute;left:2722;top:8032;height:4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 o:spid="_x0000_s2100" o:spt="3" type="#_x0000_t3" style="position:absolute;left:2774;top:7991;height:26;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 o:spid="_x0000_s2101" o:spt="3" type="#_x0000_t3" style="position:absolute;left:2730;top:8078;height:38;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 o:spid="_x0000_s2102" o:spt="3" type="#_x0000_t3" style="position:absolute;left:2685;top:8150;height:20;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 o:spid="_x0000_s2103" o:spt="3" type="#_x0000_t3" style="position:absolute;left:2605;top:8222;height:19;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 o:spid="_x0000_s2104" o:spt="3" type="#_x0000_t3" style="position:absolute;left:2641;top:8156;height:3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 o:spid="_x0000_s2105" o:spt="3" type="#_x0000_t3" style="position:absolute;left:2663;top:8130;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 o:spid="_x0000_s2106" o:spt="3" type="#_x0000_t3" style="position:absolute;left:2760;top:8072;height:12;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 o:spid="_x0000_s2107" o:spt="3" type="#_x0000_t3" style="position:absolute;left:2847;top:7998;height:34;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 o:spid="_x0000_s2108" o:spt="3" type="#_x0000_t3" style="position:absolute;left:2899;top:7938;height:40;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 o:spid="_x0000_s2109" o:spt="3" type="#_x0000_t3" style="position:absolute;left:2979;top:7907;height:19;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 o:spid="_x0000_s2110" o:spt="3" type="#_x0000_t3" style="position:absolute;left:3055;top:7873;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 o:spid="_x0000_s2111" o:spt="3" type="#_x0000_t3" style="position:absolute;left:2559;top:8307;height:34;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 o:spid="_x0000_s2112" o:spt="3" type="#_x0000_t3" style="position:absolute;left:2605;top:8262;height:26;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 o:spid="_x0000_s2113" o:spt="3" type="#_x0000_t3" style="position:absolute;left:2656;top:8195;height: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 o:spid="_x0000_s2114" o:spt="3" type="#_x0000_t3" style="position:absolute;left:2648;top:8110;height:33;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 o:spid="_x0000_s2115" o:spt="3" type="#_x0000_t3" style="position:absolute;left:2619;top:8195;height:4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 o:spid="_x0000_s2116" o:spt="3" type="#_x0000_t3" style="position:absolute;left:2576;top:8241;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 o:spid="_x0000_s2117" o:spt="3" type="#_x0000_t3" style="position:absolute;left:2538;top:8359;height: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 o:spid="_x0000_s2118" o:spt="3" type="#_x0000_t3" style="position:absolute;left:2530;top:8465;height:4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 o:spid="_x0000_s2119" o:spt="3" type="#_x0000_t3" style="position:absolute;left:2530;top:8394;height:44;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 o:spid="_x0000_s2120" o:spt="3" type="#_x0000_t3" style="position:absolute;left:2546;top:8321;height:79;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 o:spid="_x0000_s2121" o:spt="3" type="#_x0000_t3" style="position:absolute;left:2633;top:8235;height:2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 o:spid="_x0000_s2122" o:spt="3" type="#_x0000_t3" style="position:absolute;left:2693;top:8123;height:4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 o:spid="_x0000_s2123" o:spt="3" type="#_x0000_t3" style="position:absolute;left:2656;top:8195;height:14;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 o:spid="_x0000_s2124" o:spt="3" type="#_x0000_t3" style="position:absolute;left:2590;top:8307;height:14;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1" o:spid="_x0000_s2125" o:spt="3" type="#_x0000_t3" style="position:absolute;left:2546;top:8445;height: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2" o:spid="_x0000_s2126" o:spt="3" type="#_x0000_t3" style="position:absolute;left:2516;top:8518;height:20;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3" o:spid="_x0000_s2127" o:spt="3" type="#_x0000_t3" style="position:absolute;left:3288;top:7828;height:52;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4" o:spid="_x0000_s2128" o:spt="3" type="#_x0000_t3" style="position:absolute;left:3229;top:7794;height:61;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5" o:spid="_x0000_s2129" o:spt="3" type="#_x0000_t3" style="position:absolute;left:3170;top:7821;height:40;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6" o:spid="_x0000_s2130" o:spt="3" type="#_x0000_t3" style="position:absolute;left:3082;top:7834;height:34;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7" o:spid="_x0000_s2131" o:spt="3" type="#_x0000_t3" style="position:absolute;left:3001;top:7828;height:33;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8" o:spid="_x0000_s2132" o:spt="3" type="#_x0000_t3" style="position:absolute;left:2958;top:7873;height:34;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9" o:spid="_x0000_s2133" o:spt="3" type="#_x0000_t3" style="position:absolute;left:2899;top:7887;height:46;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0" o:spid="_x0000_s2134" o:spt="3" type="#_x0000_t3" style="position:absolute;left:2818;top:7913;height:39;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1" o:spid="_x0000_s2135" o:spt="3" type="#_x0000_t3" style="position:absolute;left:2809;top:7952;height:26;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2" o:spid="_x0000_s2136" o:spt="3" type="#_x0000_t3" style="position:absolute;left:2744;top:7965;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3" o:spid="_x0000_s2137" o:spt="3" type="#_x0000_t3" style="position:absolute;left:2714;top:7985;height:26;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4" o:spid="_x0000_s2138" o:spt="3" type="#_x0000_t3" style="position:absolute;left:2641;top:8038;height:2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5" o:spid="_x0000_s2139" o:spt="3" type="#_x0000_t3" style="position:absolute;left:2744;top:7952;height:2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6" o:spid="_x0000_s2140" o:spt="3" type="#_x0000_t3" style="position:absolute;left:2584;top:8123;height:14;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7" o:spid="_x0000_s2141" o:spt="3" type="#_x0000_t3" style="position:absolute;left:2626;top:8091;height:1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8" o:spid="_x0000_s2142" o:spt="3" type="#_x0000_t3" style="position:absolute;left:2670;top:8045;height:2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69" o:spid="_x0000_s2143" o:spt="3" type="#_x0000_t3" style="position:absolute;left:2744;top:7991;height:47;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0" o:spid="_x0000_s2144" o:spt="3" type="#_x0000_t3" style="position:absolute;left:2766;top:7945;height:6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1" o:spid="_x0000_s2145" o:spt="3" type="#_x0000_t3" style="position:absolute;left:2584;top:8163;height:38;width:4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2" o:spid="_x0000_s2146" o:spt="3" type="#_x0000_t3" style="position:absolute;left:2553;top:8255;height:40;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3" o:spid="_x0000_s2147" o:spt="3" type="#_x0000_t3" style="position:absolute;left:2524;top:8341;height:18;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4" o:spid="_x0000_s2148" o:spt="3" type="#_x0000_t3" style="position:absolute;left:2502;top:8433;height:5;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5" o:spid="_x0000_s2149" o:spt="3" type="#_x0000_t3" style="position:absolute;left:2568;top:8458;height:7;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6" o:spid="_x0000_s2150" o:spt="3" type="#_x0000_t3" style="position:absolute;left:2559;top:8524;height:14;width:2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7" o:spid="_x0000_s2151" o:spt="3" type="#_x0000_t3" style="position:absolute;left:2495;top:8438;height:2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8" o:spid="_x0000_s2152" o:spt="3" type="#_x0000_t3" style="position:absolute;left:2568;top:8413;height:5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79" o:spid="_x0000_s2153" o:spt="3" type="#_x0000_t3" style="position:absolute;left:3038;top:7868;height:25;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0" o:spid="_x0000_s2154" o:spt="3" type="#_x0000_t3" style="position:absolute;left:3068;top:7787;height:68;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1" o:spid="_x0000_s2155" o:spt="3" type="#_x0000_t3" style="position:absolute;left:3119;top:7780;height:54;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2" o:spid="_x0000_s2156" o:spt="3" type="#_x0000_t3" style="position:absolute;left:3177;top:7780;height:48;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3" o:spid="_x0000_s2157" o:spt="3" type="#_x0000_t3" style="position:absolute;left:3148;top:7834;height:5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4" o:spid="_x0000_s2158" o:spt="3" type="#_x0000_t3" style="position:absolute;left:2949;top:7834;height:39;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5" o:spid="_x0000_s2159" o:spt="3" type="#_x0000_t3" style="position:absolute;left:2847;top:7855;height:45;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6" o:spid="_x0000_s2160" o:spt="3" type="#_x0000_t3" style="position:absolute;left:2780;top:7893;height:45;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7" o:spid="_x0000_s2161" o:spt="3" type="#_x0000_t3" style="position:absolute;left:2714;top:7933;height:19;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8" o:spid="_x0000_s2162" o:spt="3" type="#_x0000_t3" style="position:absolute;left:2678;top:7985;height:1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89" o:spid="_x0000_s2163" o:spt="3" type="#_x0000_t3" style="position:absolute;left:2641;top:8011;height:14;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0" o:spid="_x0000_s2164" o:spt="3" type="#_x0000_t3" style="position:absolute;left:2626;top:8052;height:32;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1" o:spid="_x0000_s2165" o:spt="3" type="#_x0000_t3" style="position:absolute;left:2568;top:8104;height:19;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2" o:spid="_x0000_s2166" o:spt="3" type="#_x0000_t3" style="position:absolute;left:2530;top:8181;height:20;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3" o:spid="_x0000_s2167" o:spt="3" type="#_x0000_t3" style="position:absolute;left:2530;top:8268;height:7;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4" o:spid="_x0000_s2168" o:spt="3" type="#_x0000_t3" style="position:absolute;left:2502;top:8334;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5" o:spid="_x0000_s2169" o:spt="3" type="#_x0000_t3" style="position:absolute;left:2538;top:8188;height:41;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6" o:spid="_x0000_s2170" o:spt="3" type="#_x0000_t3" style="position:absolute;left:2928;top:7841;height:7;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7" o:spid="_x0000_s2171" o:spt="3" type="#_x0000_t3" style="position:absolute;left:3055;top:7787;height:20;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8" o:spid="_x0000_s2172" o:spt="3" type="#_x0000_t3" style="position:absolute;left:3303;top:7762;height:52;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99" o:spid="_x0000_s2173" o:spt="3" type="#_x0000_t3" style="position:absolute;left:3347;top:7821;height:52;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0" o:spid="_x0000_s2174" o:spt="3" type="#_x0000_t3" style="position:absolute;left:3325;top:7768;height:12;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1" o:spid="_x0000_s2175" o:spt="3" type="#_x0000_t3" style="position:absolute;left:3229;top:7768;height:26;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2" o:spid="_x0000_s2176" o:spt="3" type="#_x0000_t3" style="position:absolute;left:2502;top:8241;height:14;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3" o:spid="_x0000_s2177" o:spt="3" type="#_x0000_t3" style="position:absolute;left:2466;top:8301;height:33;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4" o:spid="_x0000_s2178" o:spt="3" type="#_x0000_t3" style="position:absolute;left:2458;top:8374;height:2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5" o:spid="_x0000_s2179" o:spt="3" type="#_x0000_t3" style="position:absolute;left:2466;top:8445;height:6;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6" o:spid="_x0000_s2180" o:spt="3" type="#_x0000_t3" style="position:absolute;left:2466;top:8492;height: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7" o:spid="_x0000_s2181" o:spt="3" type="#_x0000_t3" style="position:absolute;left:2429;top:8426;height:5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8" o:spid="_x0000_s2182" o:spt="3" type="#_x0000_t3" style="position:absolute;left:2466;top:8478;height:46;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09" o:spid="_x0000_s2183" o:spt="3" type="#_x0000_t3" style="position:absolute;left:2480;top:8406;height:32;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0" o:spid="_x0000_s2184" o:spt="3" type="#_x0000_t3" style="position:absolute;left:2509;top:8281;height:33;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1" o:spid="_x0000_s2185" o:spt="3" type="#_x0000_t3" style="position:absolute;left:2480;top:8366;height:54;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2" o:spid="_x0000_s2186" o:spt="3" type="#_x0000_t3" style="position:absolute;left:2466;top:8492;height:46;width:6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3" o:spid="_x0000_s2187" o:spt="3" type="#_x0000_t3" style="position:absolute;left:2708;top:7841;height:20;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4" o:spid="_x0000_s2188" o:spt="3" type="#_x0000_t3" style="position:absolute;left:2825;top:7742;height:2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5" o:spid="_x0000_s2189" o:spt="3" type="#_x0000_t3" style="position:absolute;left:2914;top:7807;height:7;width:19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6" o:spid="_x0000_s2190" o:spt="3" type="#_x0000_t3" style="position:absolute;left:3055;top:7649;height:60;width:7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7" o:spid="_x0000_s2191" o:spt="3" type="#_x0000_t3" style="position:absolute;left:2979;top:7775;height:46;width:7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8" o:spid="_x0000_s2192" o:spt="3" type="#_x0000_t3" style="position:absolute;left:2597;top:7873;height:79;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19" o:spid="_x0000_s2193" o:spt="3" type="#_x0000_t3" style="position:absolute;left:2524;top:8052;height:26;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0" o:spid="_x0000_s2194" o:spt="3" type="#_x0000_t3" style="position:absolute;left:2458;top:8181;height:48;width:7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1" o:spid="_x0000_s2195" o:spt="3" type="#_x0000_t3" style="position:absolute;left:2362;top:8327;height:7;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2" o:spid="_x0000_s2196" o:spt="3" type="#_x0000_t3" style="position:absolute;left:2495;top:7938;height:53;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3" o:spid="_x0000_s2197" o:spt="3" type="#_x0000_t3" style="position:absolute;left:2421;top:8110;height:20;width:10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4" o:spid="_x0000_s2198" o:spt="3" type="#_x0000_t3" style="position:absolute;left:2392;top:8275;height:20;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5" o:spid="_x0000_s2199" o:spt="3" type="#_x0000_t3" style="position:absolute;left:3177;top:7696;height:19;width:7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6" o:spid="_x0000_s2200" o:spt="3" type="#_x0000_t3" style="position:absolute;left:3001;top:7734;height:8;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7" o:spid="_x0000_s2201" o:spt="3" type="#_x0000_t3" style="position:absolute;left:2869;top:7801;height:20;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8" o:spid="_x0000_s2202" o:spt="3" type="#_x0000_t3" style="position:absolute;left:3420;top:7684;height:5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29" o:spid="_x0000_s2203" o:spt="3" type="#_x0000_t3" style="position:absolute;left:2958;top:7709;height:59;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0" o:spid="_x0000_s2204" o:spt="3" type="#_x0000_t3" style="position:absolute;left:2789;top:7801;height:2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1" o:spid="_x0000_s2205" o:spt="3" type="#_x0000_t3" style="position:absolute;left:2663;top:7887;height:2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2" o:spid="_x0000_s2206" o:spt="3" type="#_x0000_t3" style="position:absolute;left:2836;top:9026;height:39;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3" o:spid="_x0000_s2207" o:spt="3" type="#_x0000_t3" style="position:absolute;left:3115;top:9132;height:46;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4" o:spid="_x0000_s2208" o:spt="3" type="#_x0000_t3" style="position:absolute;left:3262;top:9158;height:39;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5" o:spid="_x0000_s2209" o:spt="3" type="#_x0000_t3" style="position:absolute;left:3342;top:9152;height:38;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6" o:spid="_x0000_s2210" o:spt="3" type="#_x0000_t3" style="position:absolute;left:3195;top:9164;height:45;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7" o:spid="_x0000_s2211" o:spt="3" type="#_x0000_t3" style="position:absolute;left:3041;top:9125;height:39;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8" o:spid="_x0000_s2212" o:spt="3" type="#_x0000_t3" style="position:absolute;left:2953;top:9132;height: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39" o:spid="_x0000_s2213" o:spt="3" type="#_x0000_t3" style="position:absolute;left:2858;top:9059;height:40;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0" o:spid="_x0000_s2214" o:spt="3" type="#_x0000_t3" style="position:absolute;left:2953;top:9079;height:46;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1" o:spid="_x0000_s2215" o:spt="3" type="#_x0000_t3" style="position:absolute;left:2791;top:8980;height:40;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2" o:spid="_x0000_s2216" o:spt="3" type="#_x0000_t3" style="position:absolute;left:2688;top:8941;height:2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3" o:spid="_x0000_s2217" o:spt="3" type="#_x0000_t3" style="position:absolute;left:2740;top:8980;height:4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4" o:spid="_x0000_s2218" o:spt="3" type="#_x0000_t3" style="position:absolute;left:2791;top:9034;height:25;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5" o:spid="_x0000_s2219" o:spt="3" type="#_x0000_t3" style="position:absolute;left:2747;top:8935;height:39;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6" o:spid="_x0000_s2220" o:spt="3" type="#_x0000_t3" style="position:absolute;left:2702;top:8881;height:20;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7" o:spid="_x0000_s2221" o:spt="3" type="#_x0000_t3" style="position:absolute;left:2622;top:8810;height:2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8" o:spid="_x0000_s2222" o:spt="3" type="#_x0000_t3" style="position:absolute;left:2659;top:8863;height:3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49" o:spid="_x0000_s2223" o:spt="3" type="#_x0000_t3" style="position:absolute;left:2680;top:8914;height:7;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0" o:spid="_x0000_s2224" o:spt="3" type="#_x0000_t3" style="position:absolute;left:2777;top:8967;height:13;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1" o:spid="_x0000_s2225" o:spt="3" type="#_x0000_t3" style="position:absolute;left:2865;top:9020;height:33;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2" o:spid="_x0000_s2226" o:spt="3" type="#_x0000_t3" style="position:absolute;left:2915;top:9073;height:4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3" o:spid="_x0000_s2227" o:spt="3" type="#_x0000_t3" style="position:absolute;left:2996;top:9125;height:20;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4" o:spid="_x0000_s2228" o:spt="3" type="#_x0000_t3" style="position:absolute;left:3070;top:9138;height:40;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5" o:spid="_x0000_s2229" o:spt="3" type="#_x0000_t3" style="position:absolute;left:2576;top:8710;height:3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6" o:spid="_x0000_s2230" o:spt="3" type="#_x0000_t3" style="position:absolute;left:2622;top:8764;height:25;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7" o:spid="_x0000_s2231" o:spt="3" type="#_x0000_t3" style="position:absolute;left:2673;top:8850;height: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8" o:spid="_x0000_s2232" o:spt="3" type="#_x0000_t3" style="position:absolute;left:2666;top:8907;height:34;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59" o:spid="_x0000_s2233" o:spt="3" type="#_x0000_t3" style="position:absolute;left:2636;top:8816;height:40;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0" o:spid="_x0000_s2234" o:spt="3" type="#_x0000_t3" style="position:absolute;left:2593;top:8770;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1" o:spid="_x0000_s2235" o:spt="3" type="#_x0000_t3" style="position:absolute;left:2555;top:8685;height: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2" o:spid="_x0000_s2236" o:spt="3" type="#_x0000_t3" style="position:absolute;left:2549;top:8546;height:4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3" o:spid="_x0000_s2237" o:spt="3" type="#_x0000_t3" style="position:absolute;left:2549;top:8613;height:45;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4" o:spid="_x0000_s2238" o:spt="3" type="#_x0000_t3" style="position:absolute;left:2562;top:8651;height:79;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5" o:spid="_x0000_s2239" o:spt="3" type="#_x0000_t3" style="position:absolute;left:2653;top:8796;height:2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6" o:spid="_x0000_s2240" o:spt="3" type="#_x0000_t3" style="position:absolute;left:2710;top:8888;height:40;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7" o:spid="_x0000_s2241" o:spt="3" type="#_x0000_t3" style="position:absolute;left:2673;top:8842;height:14;width:3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8" o:spid="_x0000_s2242" o:spt="3" type="#_x0000_t3" style="position:absolute;left:2606;top:8730;height:1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69" o:spid="_x0000_s2243" o:spt="3" type="#_x0000_t3" style="position:absolute;left:2562;top:8600;height: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0" o:spid="_x0000_s2244" o:spt="3" type="#_x0000_t3" style="position:absolute;left:2533;top:8513;height:20;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1" o:spid="_x0000_s2245" o:spt="3" type="#_x0000_t3" style="position:absolute;left:3305;top:9171;height:52;width:3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2" o:spid="_x0000_s2246" o:spt="3" type="#_x0000_t3" style="position:absolute;left:3248;top:9197;height:6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3" o:spid="_x0000_s2247" o:spt="3" type="#_x0000_t3" style="position:absolute;left:3188;top:9190;height:39;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4" o:spid="_x0000_s2248" o:spt="3" type="#_x0000_t3" style="position:absolute;left:3100;top:9183;height:33;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5" o:spid="_x0000_s2249" o:spt="3" type="#_x0000_t3" style="position:absolute;left:3019;top:9190;height:33;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6" o:spid="_x0000_s2250" o:spt="3" type="#_x0000_t3" style="position:absolute;left:2975;top:9145;height:33;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7" o:spid="_x0000_s2251" o:spt="3" type="#_x0000_t3" style="position:absolute;left:2915;top:9118;height:46;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8" o:spid="_x0000_s2252" o:spt="3" type="#_x0000_t3" style="position:absolute;left:2836;top:9099;height:39;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79" o:spid="_x0000_s2253" o:spt="3" type="#_x0000_t3" style="position:absolute;left:2827;top:9073;height:26;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0" o:spid="_x0000_s2254" o:spt="3" type="#_x0000_t3" style="position:absolute;left:2761;top:9079;height: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1" o:spid="_x0000_s2255" o:spt="3" type="#_x0000_t3" style="position:absolute;left:2732;top:9039;height:26;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2" o:spid="_x0000_s2256" o:spt="3" type="#_x0000_t3" style="position:absolute;left:2659;top:8986;height:2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3" o:spid="_x0000_s2257" o:spt="3" type="#_x0000_t3" style="position:absolute;left:2761;top:9073;height:26;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4" o:spid="_x0000_s2258" o:spt="3" type="#_x0000_t3" style="position:absolute;left:2600;top:8914;height:14;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5" o:spid="_x0000_s2259" o:spt="3" type="#_x0000_t3" style="position:absolute;left:2644;top:8947;height:14;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6" o:spid="_x0000_s2260" o:spt="3" type="#_x0000_t3" style="position:absolute;left:2688;top:8986;height:21;width:3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7" o:spid="_x0000_s2261" o:spt="3" type="#_x0000_t3" style="position:absolute;left:2761;top:9013;height:46;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8" o:spid="_x0000_s2262" o:spt="3" type="#_x0000_t3" style="position:absolute;left:2785;top:9039;height:6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89" o:spid="_x0000_s2263" o:spt="3" type="#_x0000_t3" style="position:absolute;left:2600;top:8850;height:38;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0" o:spid="_x0000_s2264" o:spt="3" type="#_x0000_t3" style="position:absolute;left:2571;top:8757;height:39;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1" o:spid="_x0000_s2265" o:spt="3" type="#_x0000_t3" style="position:absolute;left:2542;top:8691;height:19;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2" o:spid="_x0000_s2266" o:spt="3" type="#_x0000_t3" style="position:absolute;left:2519;top:8613;height:5;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3" o:spid="_x0000_s2267" o:spt="3" type="#_x0000_t3" style="position:absolute;left:2585;top:8586;height: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4" o:spid="_x0000_s2268" o:spt="3" type="#_x0000_t3" style="position:absolute;left:2576;top:8513;height:13;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5" o:spid="_x0000_s2269" o:spt="3" type="#_x0000_t3" style="position:absolute;left:2513;top:8586;height:27;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6" o:spid="_x0000_s2270" o:spt="3" type="#_x0000_t3" style="position:absolute;left:2585;top:8586;height:5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7" o:spid="_x0000_s2271" o:spt="3" type="#_x0000_t3" style="position:absolute;left:3055;top:9158;height:25;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8" o:spid="_x0000_s2272" o:spt="3" type="#_x0000_t3" style="position:absolute;left:3085;top:9197;height:6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199" o:spid="_x0000_s2273" o:spt="3" type="#_x0000_t3" style="position:absolute;left:3136;top:9216;height:54;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0" o:spid="_x0000_s2274" o:spt="3" type="#_x0000_t3" style="position:absolute;left:3195;top:9223;height:4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1" o:spid="_x0000_s2275" o:spt="3" type="#_x0000_t3" style="position:absolute;left:3165;top:9164;height:52;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2" o:spid="_x0000_s2276" o:spt="3" type="#_x0000_t3" style="position:absolute;left:2967;top:9178;height:38;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3" o:spid="_x0000_s2277" o:spt="3" type="#_x0000_t3" style="position:absolute;left:2865;top:9152;height:45;width:8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4" o:spid="_x0000_s2278" o:spt="3" type="#_x0000_t3" style="position:absolute;left:2799;top:9113;height:45;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5" o:spid="_x0000_s2279" o:spt="3" type="#_x0000_t3" style="position:absolute;left:2732;top:9099;height:19;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6" o:spid="_x0000_s2280" o:spt="3" type="#_x0000_t3" style="position:absolute;left:2696;top:9053;height:1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7" o:spid="_x0000_s2281" o:spt="3" type="#_x0000_t3" style="position:absolute;left:2659;top:9026;height:13;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08" o:spid="_x0000_s2282" o:spt="3" type="#_x0000_t3" style="position:absolute;left:2644;top:8967;height:33;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group id="Group 209" o:spid="_x0000_s2283" o:spt="203" style="position:absolute;left:2380;top:7673;height:1729;width:1883;" coordorigin="467,1563" coordsize="1724,1743">
              <o:lock v:ext="edit" position="f" selection="f" grouping="f" rotation="f" cropping="f" text="f" aspectratio="f"/>
              <v:shape id="Oval 210" o:spid="_x0000_s2284" o:spt="3" type="#_x0000_t3" style="position:absolute;left:654;top:2828;height:2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1" o:spid="_x0000_s2285" o:spt="3" type="#_x0000_t3" style="position:absolute;left:621;top:2749;height:2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2" o:spid="_x0000_s2286" o:spt="3" type="#_x0000_t3" style="position:absolute;left:621;top:2676;height: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3" o:spid="_x0000_s2287" o:spt="3" type="#_x0000_t3" style="position:absolute;left:594;top:2609;height:6;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4" o:spid="_x0000_s2288" o:spt="3" type="#_x0000_t3" style="position:absolute;left:627;top:2722;height:40;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5" o:spid="_x0000_s2289" o:spt="3" type="#_x0000_t3" style="position:absolute;left:984;top:3106;height:6;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6" o:spid="_x0000_s2290" o:spt="3" type="#_x0000_t3" style="position:absolute;left:1099;top:3146;height:2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7" o:spid="_x0000_s2291" o:spt="3" type="#_x0000_t3" style="position:absolute;left:1328;top:3139;height:5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8" o:spid="_x0000_s2292" o:spt="3" type="#_x0000_t3" style="position:absolute;left:1367;top:3080;height:52;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19" o:spid="_x0000_s2293" o:spt="3" type="#_x0000_t3" style="position:absolute;left:1348;top:3173;height:1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0" o:spid="_x0000_s2294" o:spt="3" type="#_x0000_t3" style="position:absolute;left:1261;top:3160;height:2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1" o:spid="_x0000_s2295" o:spt="3" type="#_x0000_t3" style="position:absolute;left:594;top:2695;height:14;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2" o:spid="_x0000_s2296" o:spt="3" type="#_x0000_t3" style="position:absolute;left:561;top:2615;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3" o:spid="_x0000_s2297" o:spt="3" type="#_x0000_t3" style="position:absolute;left:554;top:2556;height:19;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4" o:spid="_x0000_s2298" o:spt="3" type="#_x0000_t3" style="position:absolute;left:561;top:2497;height:6;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5" o:spid="_x0000_s2299" o:spt="3" type="#_x0000_t3" style="position:absolute;left:561;top:2450;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6" o:spid="_x0000_s2300" o:spt="3" type="#_x0000_t3" style="position:absolute;left:527;top:2470;height:5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7" o:spid="_x0000_s2301" o:spt="3" type="#_x0000_t3" style="position:absolute;left:561;top:2423;height:47;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8" o:spid="_x0000_s2302" o:spt="3" type="#_x0000_t3" style="position:absolute;left:574;top:2510;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29" o:spid="_x0000_s2303" o:spt="3" type="#_x0000_t3" style="position:absolute;left:601;top:2636;height:33;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0" o:spid="_x0000_s2304" o:spt="3" type="#_x0000_t3" style="position:absolute;left:574;top:2530;height:5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1" o:spid="_x0000_s2305" o:spt="3" type="#_x0000_t3" style="position:absolute;left:561;top:2410;height:47;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2" o:spid="_x0000_s2306" o:spt="3" type="#_x0000_t3" style="position:absolute;left:783;top:3093;height:19;width:8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3" o:spid="_x0000_s2307" o:spt="3" type="#_x0000_t3" style="position:absolute;left:891;top:3186;height:26;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4" o:spid="_x0000_s2308" o:spt="3" type="#_x0000_t3" style="position:absolute;left:970;top:3139;height:7;width:18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5" o:spid="_x0000_s2309" o:spt="3" type="#_x0000_t3" style="position:absolute;left:1099;top:3246;height:6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6" o:spid="_x0000_s2310" o:spt="3" type="#_x0000_t3" style="position:absolute;left:1031;top:3132;height:47;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7" o:spid="_x0000_s2311" o:spt="3" type="#_x0000_t3" style="position:absolute;left:681;top:3000;height:8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8" o:spid="_x0000_s2312" o:spt="3" type="#_x0000_t3" style="position:absolute;left:615;top:2875;height:26;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39" o:spid="_x0000_s2313" o:spt="3" type="#_x0000_t3" style="position:absolute;left:554;top:2722;height:4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0" o:spid="_x0000_s2314" o:spt="3" type="#_x0000_t3" style="position:absolute;left:467;top:2615;height:7;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1" o:spid="_x0000_s2315" o:spt="3" type="#_x0000_t3" style="position:absolute;left:588;top:2960;height:54;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2" o:spid="_x0000_s2316" o:spt="3" type="#_x0000_t3" style="position:absolute;left:520;top:2821;height:20;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3" o:spid="_x0000_s2317" o:spt="3" type="#_x0000_t3" style="position:absolute;left:494;top:2656;height:20;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4" o:spid="_x0000_s2318" o:spt="3" type="#_x0000_t3" style="position:absolute;left:1213;top:3239;height:21;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5" o:spid="_x0000_s2319" o:spt="3" type="#_x0000_t3" style="position:absolute;left:1052;top:3212;height:8;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6" o:spid="_x0000_s2320" o:spt="3" type="#_x0000_t3" style="position:absolute;left:930;top:3132;height:21;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7" o:spid="_x0000_s2321" o:spt="3" type="#_x0000_t3" style="position:absolute;left:1436;top:3220;height:52;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8" o:spid="_x0000_s2322" o:spt="3" type="#_x0000_t3" style="position:absolute;left:1012;top:3186;height:6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49" o:spid="_x0000_s2323" o:spt="3" type="#_x0000_t3" style="position:absolute;left:857;top:3126;height:27;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0" o:spid="_x0000_s2324" o:spt="3" type="#_x0000_t3" style="position:absolute;left:742;top:3040;height:26;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1" o:spid="_x0000_s2325" o:spt="3" type="#_x0000_t3" style="position:absolute;left:1759;top:1900;height:41;width:1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2" o:spid="_x0000_s2326" o:spt="3" type="#_x0000_t3" style="position:absolute;left:1465;top:1788;height:47;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3" o:spid="_x0000_s2327" o:spt="3" type="#_x0000_t3" style="position:absolute;left:1355;top:1769;height:39;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4" o:spid="_x0000_s2328" o:spt="3" type="#_x0000_t3" style="position:absolute;left:1296;top:1775;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5" o:spid="_x0000_s2329" o:spt="3" type="#_x0000_t3" style="position:absolute;left:1390;top:1755;height:46;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6" o:spid="_x0000_s2330" o:spt="3" type="#_x0000_t3" style="position:absolute;left:1551;top:1801;height:40;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7" o:spid="_x0000_s2331" o:spt="3" type="#_x0000_t3" style="position:absolute;left:1625;top:1828;height: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8" o:spid="_x0000_s2332" o:spt="3" type="#_x0000_t3" style="position:absolute;left:1699;top:1868;height:39;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59" o:spid="_x0000_s2333" o:spt="3" type="#_x0000_t3" style="position:absolute;left:1625;top:1841;height:4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0" o:spid="_x0000_s2334" o:spt="3" type="#_x0000_t3" style="position:absolute;left:1774;top:1948;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1" o:spid="_x0000_s2335" o:spt="3" type="#_x0000_t3" style="position:absolute;left:1867;top:2001;height:25;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2" o:spid="_x0000_s2336" o:spt="3" type="#_x0000_t3" style="position:absolute;left:1834;top:1948;height:39;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3" o:spid="_x0000_s2337" o:spt="3" type="#_x0000_t3" style="position:absolute;left:1794;top:1907;height:28;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4" o:spid="_x0000_s2338" o:spt="3" type="#_x0000_t3" style="position:absolute;left:1834;top:1994;height:39;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5" o:spid="_x0000_s2339" o:spt="3" type="#_x0000_t3" style="position:absolute;left:1874;top:2067;height:19;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6" o:spid="_x0000_s2340" o:spt="3" type="#_x0000_t3" style="position:absolute;left:1935;top:2140;height:20;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7" o:spid="_x0000_s2341" o:spt="3" type="#_x0000_t3" style="position:absolute;left:1916;top:2074;height:32;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8" o:spid="_x0000_s2342" o:spt="3" type="#_x0000_t3" style="position:absolute;left:1889;top:2046;height: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69" o:spid="_x0000_s2343" o:spt="3" type="#_x0000_t3" style="position:absolute;left:1801;top:1987;height:14;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0" o:spid="_x0000_s2344" o:spt="3" type="#_x0000_t3" style="position:absolute;left:1733;top:1914;height:34;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1" o:spid="_x0000_s2345" o:spt="3" type="#_x0000_t3" style="position:absolute;left:1666;top:1854;height:39;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2" o:spid="_x0000_s2346" o:spt="3" type="#_x0000_t3" style="position:absolute;left:1592;top:1822;height:19;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3" o:spid="_x0000_s2347" o:spt="3" type="#_x0000_t3" style="position:absolute;left:1545;top:1788;height:40;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4" o:spid="_x0000_s2348" o:spt="3" type="#_x0000_t3" style="position:absolute;left:1970;top:2226;height:3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5" o:spid="_x0000_s2349" o:spt="3" type="#_x0000_t3" style="position:absolute;left:1935;top:2179;height:27;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6" o:spid="_x0000_s2350" o:spt="3" type="#_x0000_t3" style="position:absolute;left:1895;top:2113;height:7;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7" o:spid="_x0000_s2351" o:spt="3" type="#_x0000_t3" style="position:absolute;left:1889;top:2026;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8" o:spid="_x0000_s2352" o:spt="3" type="#_x0000_t3" style="position:absolute;left:1929;top:2113;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79" o:spid="_x0000_s2353" o:spt="3" type="#_x0000_t3" style="position:absolute;left:1956;top:2160;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0" o:spid="_x0000_s2354" o:spt="3" type="#_x0000_t3" style="position:absolute;left:1970;top:2278;height:8;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1" o:spid="_x0000_s2355" o:spt="3" type="#_x0000_t3" style="position:absolute;left:1989;top:2385;height:40;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2" o:spid="_x0000_s2356" o:spt="3" type="#_x0000_t3" style="position:absolute;left:1996;top:2312;height:4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3" o:spid="_x0000_s2357" o:spt="3" type="#_x0000_t3" style="position:absolute;left:1962;top:2239;height:8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4" o:spid="_x0000_s2358" o:spt="3" type="#_x0000_t3" style="position:absolute;left:1916;top:2153;height:19;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5" o:spid="_x0000_s2359" o:spt="3" type="#_x0000_t3" style="position:absolute;left:1854;top:2040;height:40;width:3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6" o:spid="_x0000_s2360" o:spt="3" type="#_x0000_t3" style="position:absolute;left:1889;top:2113;height:13;width:3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7" o:spid="_x0000_s2361" o:spt="3" type="#_x0000_t3" style="position:absolute;left:1943;top:2226;height:13;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8" o:spid="_x0000_s2362" o:spt="3" type="#_x0000_t3" style="position:absolute;left:1975;top:2365;height:6;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89" o:spid="_x0000_s2363" o:spt="3" type="#_x0000_t3" style="position:absolute;left:2002;top:2438;height:19;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0" o:spid="_x0000_s2364" o:spt="3" type="#_x0000_t3" style="position:absolute;left:1315;top:1742;height:5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1" o:spid="_x0000_s2365" o:spt="3" type="#_x0000_t3" style="position:absolute;left:1350;top:1708;height:61;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2" o:spid="_x0000_s2366" o:spt="3" type="#_x0000_t3" style="position:absolute;left:1383;top:1735;height:4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3" o:spid="_x0000_s2367" o:spt="3" type="#_x0000_t3" style="position:absolute;left:1470;top:1749;height:33;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4" o:spid="_x0000_s2368" o:spt="3" type="#_x0000_t3" style="position:absolute;left:1559;top:1742;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5" o:spid="_x0000_s2369" o:spt="3" type="#_x0000_t3" style="position:absolute;left:1592;top:1788;height:34;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6" o:spid="_x0000_s2370" o:spt="3" type="#_x0000_t3" style="position:absolute;left:1652;top:1801;height:4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7" o:spid="_x0000_s2371" o:spt="3" type="#_x0000_t3" style="position:absolute;left:1713;top:1828;height:4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8" o:spid="_x0000_s2372" o:spt="3" type="#_x0000_t3" style="position:absolute;left:1759;top:1868;height:25;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299" o:spid="_x0000_s2373" o:spt="3" type="#_x0000_t3" style="position:absolute;left:1814;top:1880;height:8;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0" o:spid="_x0000_s2374" o:spt="3" type="#_x0000_t3" style="position:absolute;left:1847;top:1900;height:28;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1" o:spid="_x0000_s2375" o:spt="3" type="#_x0000_t3" style="position:absolute;left:1908;top:1954;height:2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2" o:spid="_x0000_s2376" o:spt="3" type="#_x0000_t3" style="position:absolute;left:1814;top:1868;height:25;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3" o:spid="_x0000_s2377" o:spt="3" type="#_x0000_t3" style="position:absolute;left:1962;top:2040;height:1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4" o:spid="_x0000_s2378" o:spt="3" type="#_x0000_t3" style="position:absolute;left:1908;top:2007;height:1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5" o:spid="_x0000_s2379" o:spt="3" type="#_x0000_t3" style="position:absolute;left:1874;top:1961;height:20;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6" o:spid="_x0000_s2380" o:spt="3" type="#_x0000_t3" style="position:absolute;left:1801;top:1907;height:4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7" o:spid="_x0000_s2381" o:spt="3" type="#_x0000_t3" style="position:absolute;left:1774;top:1861;height:6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8" o:spid="_x0000_s2382" o:spt="3" type="#_x0000_t3" style="position:absolute;left:1948;top:2080;height:40;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09" o:spid="_x0000_s2383" o:spt="3" type="#_x0000_t3" style="position:absolute;left:1996;top:2172;height:41;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0" o:spid="_x0000_s2384" o:spt="3" type="#_x0000_t3" style="position:absolute;left:2016;top:2259;height:19;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1" o:spid="_x0000_s2385" o:spt="3" type="#_x0000_t3" style="position:absolute;left:2030;top:2352;height:6;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2" o:spid="_x0000_s2386" o:spt="3" type="#_x0000_t3" style="position:absolute;left:1982;top:2378;height:7;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3" o:spid="_x0000_s2387" o:spt="3" type="#_x0000_t3" style="position:absolute;left:1989;top:2445;height:12;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4" o:spid="_x0000_s2388" o:spt="3" type="#_x0000_t3" style="position:absolute;left:2023;top:2358;height:27;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5" o:spid="_x0000_s2389" o:spt="3" type="#_x0000_t3" style="position:absolute;left:1982;top:2332;height:5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6" o:spid="_x0000_s2390" o:spt="3" type="#_x0000_t3" style="position:absolute;left:1519;top:1782;height:26;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7" o:spid="_x0000_s2391" o:spt="3" type="#_x0000_t3" style="position:absolute;left:1505;top:1702;height:6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8" o:spid="_x0000_s2392" o:spt="3" type="#_x0000_t3" style="position:absolute;left:1451;top:1696;height:5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19" o:spid="_x0000_s2393" o:spt="3" type="#_x0000_t3" style="position:absolute;left:1383;top:1696;height:4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0" o:spid="_x0000_s2394" o:spt="3" type="#_x0000_t3" style="position:absolute;left:1431;top:1749;height:52;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1" o:spid="_x0000_s2395" o:spt="3" type="#_x0000_t3" style="position:absolute;left:1612;top:1749;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2" o:spid="_x0000_s2396" o:spt="3" type="#_x0000_t3" style="position:absolute;left:1673;top:1769;height:46;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3" o:spid="_x0000_s2397" o:spt="3" type="#_x0000_t3" style="position:absolute;left:1759;top:1808;height:46;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4" o:spid="_x0000_s2398" o:spt="3" type="#_x0000_t3" style="position:absolute;left:1781;top:1848;height:20;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5" o:spid="_x0000_s2399" o:spt="3" type="#_x0000_t3" style="position:absolute;left:1861;top:1900;height:14;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6" o:spid="_x0000_s2400" o:spt="3" type="#_x0000_t3" style="position:absolute;left:1889;top:1928;height:13;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7" o:spid="_x0000_s2401" o:spt="3" type="#_x0000_t3" style="position:absolute;left:1916;top:1967;height:34;width:3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8" o:spid="_x0000_s2402" o:spt="3" type="#_x0000_t3" style="position:absolute;left:1921;top:2020;height:20;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29" o:spid="_x0000_s2403" o:spt="3" type="#_x0000_t3" style="position:absolute;left:1996;top:2101;height:1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0" o:spid="_x0000_s2404" o:spt="3" type="#_x0000_t3" style="position:absolute;left:1996;top:2186;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1" o:spid="_x0000_s2405" o:spt="3" type="#_x0000_t3" style="position:absolute;left:2030;top:2252;height:7;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2" o:spid="_x0000_s2406" o:spt="3" type="#_x0000_t3" style="position:absolute;left:2010;top:2106;height:41;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3" o:spid="_x0000_s2407" o:spt="3" type="#_x0000_t3" style="position:absolute;left:1606;top:1755;height:7;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4" o:spid="_x0000_s2408" o:spt="3" type="#_x0000_t3" style="position:absolute;left:1505;top:1702;height:2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5" o:spid="_x0000_s2409" o:spt="3" type="#_x0000_t3" style="position:absolute;left:1309;top:1676;height:52;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6" o:spid="_x0000_s2410" o:spt="3" type="#_x0000_t3" style="position:absolute;left:1262;top:1735;height:5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7" o:spid="_x0000_s2411" o:spt="3" type="#_x0000_t3" style="position:absolute;left:1255;top:1683;height:13;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8" o:spid="_x0000_s2412" o:spt="3" type="#_x0000_t3" style="position:absolute;left:1329;top:1683;height:25;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39" o:spid="_x0000_s2413" o:spt="3" type="#_x0000_t3" style="position:absolute;left:2002;top:2160;height:12;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0" o:spid="_x0000_s2414" o:spt="3" type="#_x0000_t3" style="position:absolute;left:2057;top:2219;height:33;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1" o:spid="_x0000_s2415" o:spt="3" type="#_x0000_t3" style="position:absolute;left:2057;top:2291;height:21;width:4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2" o:spid="_x0000_s2416" o:spt="3" type="#_x0000_t3" style="position:absolute;left:2044;top:2365;height:6;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3" o:spid="_x0000_s2417" o:spt="3" type="#_x0000_t3" style="position:absolute;left:2057;top:2411;height: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4" o:spid="_x0000_s2418" o:spt="3" type="#_x0000_t3" style="position:absolute;left:2090;top:2346;height:52;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5" o:spid="_x0000_s2419" o:spt="3" type="#_x0000_t3" style="position:absolute;left:2076;top:2398;height:4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6" o:spid="_x0000_s2420" o:spt="3" type="#_x0000_t3" style="position:absolute;left:2036;top:2325;height:33;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7" o:spid="_x0000_s2421" o:spt="3" type="#_x0000_t3" style="position:absolute;left:2030;top:2199;height:33;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8" o:spid="_x0000_s2422" o:spt="3" type="#_x0000_t3" style="position:absolute;left:2030;top:2286;height:53;width:5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49" o:spid="_x0000_s2423" o:spt="3" type="#_x0000_t3" style="position:absolute;left:2036;top:2411;height:4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0" o:spid="_x0000_s2424" o:spt="3" type="#_x0000_t3" style="position:absolute;left:1788;top:1755;height:20;width:8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1" o:spid="_x0000_s2425" o:spt="3" type="#_x0000_t3" style="position:absolute;left:1705;top:1656;height:27;width:6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2" o:spid="_x0000_s2426" o:spt="3" type="#_x0000_t3" style="position:absolute;left:1505;top:1722;height:6;width:1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3" o:spid="_x0000_s2427" o:spt="3" type="#_x0000_t3" style="position:absolute;left:1491;top:1563;height:60;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4" o:spid="_x0000_s2428" o:spt="3" type="#_x0000_t3" style="position:absolute;left:1559;top:1689;height:46;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5" o:spid="_x0000_s2429" o:spt="3" type="#_x0000_t3" style="position:absolute;left:1921;top:1788;height:80;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6" o:spid="_x0000_s2430" o:spt="3" type="#_x0000_t3" style="position:absolute;left:1956;top:1967;height:27;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7" o:spid="_x0000_s2431" o:spt="3" type="#_x0000_t3" style="position:absolute;left:2036;top:2101;height:4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8" o:spid="_x0000_s2432" o:spt="3" type="#_x0000_t3" style="position:absolute;left:2137;top:2245;height:7;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59" o:spid="_x0000_s2433" o:spt="3" type="#_x0000_t3" style="position:absolute;left:1996;top:1854;height:53;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0" o:spid="_x0000_s2434" o:spt="3" type="#_x0000_t3" style="position:absolute;left:2044;top:2026;height:20;width:9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1" o:spid="_x0000_s2435" o:spt="3" type="#_x0000_t3" style="position:absolute;left:2124;top:2193;height:2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2" o:spid="_x0000_s2436" o:spt="3" type="#_x0000_t3" style="position:absolute;left:1376;top:1610;height:19;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3" o:spid="_x0000_s2437" o:spt="3" type="#_x0000_t3" style="position:absolute;left:1592;top:1649;height:7;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4" o:spid="_x0000_s2438" o:spt="3" type="#_x0000_t3" style="position:absolute;left:1660;top:1715;height:20;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5" o:spid="_x0000_s2439" o:spt="3" type="#_x0000_t3" style="position:absolute;left:1147;top:1596;height:53;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6" o:spid="_x0000_s2440" o:spt="3" type="#_x0000_t3" style="position:absolute;left:1606;top:1623;height:60;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7" o:spid="_x0000_s2441" o:spt="3" type="#_x0000_t3" style="position:absolute;left:1767;top:1715;height:27;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8" o:spid="_x0000_s2442" o:spt="3" type="#_x0000_t3" style="position:absolute;left:1867;top:1801;height:27;width:4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69" o:spid="_x0000_s2443" o:spt="3" type="#_x0000_t3" style="position:absolute;left:1809;top:2904;height:40;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0" o:spid="_x0000_s2444" o:spt="3" type="#_x0000_t3" style="position:absolute;left:1512;top:3009;height:48;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1" o:spid="_x0000_s2445" o:spt="3" type="#_x0000_t3" style="position:absolute;left:1405;top:3036;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2" o:spid="_x0000_s2446" o:spt="3" type="#_x0000_t3" style="position:absolute;left:1344;top:3029;height:41;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3" o:spid="_x0000_s2447" o:spt="3" type="#_x0000_t3" style="position:absolute;left:1438;top:3043;height:46;width:5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4" o:spid="_x0000_s2448" o:spt="3" type="#_x0000_t3" style="position:absolute;left:1600;top:3002;height:4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5" o:spid="_x0000_s2449" o:spt="3" type="#_x0000_t3" style="position:absolute;left:1674;top:3009;height:7;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6" o:spid="_x0000_s2450" o:spt="3" type="#_x0000_t3" style="position:absolute;left:1748;top:2936;height:41;width:5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7" o:spid="_x0000_s2451" o:spt="3" type="#_x0000_t3" style="position:absolute;left:1674;top:2956;height:46;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8" o:spid="_x0000_s2452" o:spt="3" type="#_x0000_t3" style="position:absolute;left:1822;top:2858;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79" o:spid="_x0000_s2453" o:spt="3" type="#_x0000_t3" style="position:absolute;left:1917;top:2818;height:26;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0" o:spid="_x0000_s2454" o:spt="3" type="#_x0000_t3" style="position:absolute;left:1883;top:2858;height:39;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1" o:spid="_x0000_s2455" o:spt="3" type="#_x0000_t3" style="position:absolute;left:1843;top:2910;height:26;width:1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2" o:spid="_x0000_s2456" o:spt="3" type="#_x0000_t3" style="position:absolute;left:1883;top:2811;height:40;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3" o:spid="_x0000_s2457" o:spt="3" type="#_x0000_t3" style="position:absolute;left:1922;top:2757;height:21;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4" o:spid="_x0000_s2458" o:spt="3" type="#_x0000_t3" style="position:absolute;left:1984;top:2685;height:20;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5" o:spid="_x0000_s2459" o:spt="3" type="#_x0000_t3" style="position:absolute;left:1964;top:2738;height:33;width:2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6" o:spid="_x0000_s2460" o:spt="3" type="#_x0000_t3" style="position:absolute;left:1937;top:2791;height:6;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7" o:spid="_x0000_s2461" o:spt="3" type="#_x0000_t3" style="position:absolute;left:1849;top:2844;height:14;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8" o:spid="_x0000_s2462" o:spt="3" type="#_x0000_t3" style="position:absolute;left:1781;top:2897;height:33;width:1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89" o:spid="_x0000_s2463" o:spt="3" type="#_x0000_t3" style="position:absolute;left:1714;top:2950;height:39;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0" o:spid="_x0000_s2464" o:spt="3" type="#_x0000_t3" style="position:absolute;left:1640;top:3002;height:2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1" o:spid="_x0000_s2465" o:spt="3" type="#_x0000_t3" style="position:absolute;left:1593;top:3016;height:41;width:1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2" o:spid="_x0000_s2466" o:spt="3" type="#_x0000_t3" style="position:absolute;left:2017;top:2585;height:33;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3" o:spid="_x0000_s2467" o:spt="3" type="#_x0000_t3" style="position:absolute;left:1984;top:2638;height:27;width:3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4" o:spid="_x0000_s2468" o:spt="3" type="#_x0000_t3" style="position:absolute;left:1944;top:2724;height:7;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5" o:spid="_x0000_s2469" o:spt="3" type="#_x0000_t3" style="position:absolute;left:1937;top:2784;height:34;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6" o:spid="_x0000_s2470" o:spt="3" type="#_x0000_t3" style="position:absolute;left:1977;top:2691;height:40;width:2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7" o:spid="_x0000_s2471" o:spt="3" type="#_x0000_t3" style="position:absolute;left:2004;top:2646;height:39;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8" o:spid="_x0000_s2472" o:spt="3" type="#_x0000_t3" style="position:absolute;left:2017;top:2559;height:6;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399" o:spid="_x0000_s2473" o:spt="3" type="#_x0000_t3" style="position:absolute;left:2037;top:2420;height:39;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0" o:spid="_x0000_s2474" o:spt="3" type="#_x0000_t3" style="position:absolute;left:2044;top:2486;height:47;width:4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1" o:spid="_x0000_s2475" o:spt="3" type="#_x0000_t3" style="position:absolute;left:2011;top:2526;height:80;width:6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2" o:spid="_x0000_s2476" o:spt="3" type="#_x0000_t3" style="position:absolute;left:1964;top:2672;height:19;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3" o:spid="_x0000_s2477" o:spt="3" type="#_x0000_t3" style="position:absolute;left:1903;top:2764;height:41;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4" o:spid="_x0000_s2478" o:spt="3" type="#_x0000_t3" style="position:absolute;left:1937;top:2718;height:13;width:3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5" o:spid="_x0000_s2479" o:spt="3" type="#_x0000_t3" style="position:absolute;left:1990;top:2606;height:12;width:4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6" o:spid="_x0000_s2480" o:spt="3" type="#_x0000_t3" style="position:absolute;left:2024;top:2473;height:7;width:4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7" o:spid="_x0000_s2481" o:spt="3" type="#_x0000_t3" style="position:absolute;left:2051;top:2386;height:21;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8" o:spid="_x0000_s2482" o:spt="3" type="#_x0000_t3" style="position:absolute;left:1365;top:3050;height:52;width:2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09" o:spid="_x0000_s2483" o:spt="3" type="#_x0000_t3" style="position:absolute;left:1398;top:3076;height:60;width:4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group>
            <v:shape id="Oval 410" o:spid="_x0000_s2484" o:spt="3" type="#_x0000_t3" style="position:absolute;left:3434;top:9168;height:39;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1" o:spid="_x0000_s2485" o:spt="3" type="#_x0000_t3" style="position:absolute;left:3529;top:9161;height:33;width:6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2" o:spid="_x0000_s2486" o:spt="3" type="#_x0000_t3" style="position:absolute;left:3623;top:9168;height:32;width:5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3" o:spid="_x0000_s2487" o:spt="3" type="#_x0000_t3" style="position:absolute;left:3661;top:9121;height:34;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4" o:spid="_x0000_s2488" o:spt="3" type="#_x0000_t3" style="position:absolute;left:3728;top:9094;height:4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5" o:spid="_x0000_s2489" o:spt="3" type="#_x0000_t3" style="position:absolute;left:3793;top:9075;height:39;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6" o:spid="_x0000_s2490" o:spt="3" type="#_x0000_t3" style="position:absolute;left:3845;top:9049;height:26;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7" o:spid="_x0000_s2491" o:spt="3" type="#_x0000_t3" style="position:absolute;left:3904;top:9054;height:7;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8" o:spid="_x0000_s2492" o:spt="3" type="#_x0000_t3" style="position:absolute;left:3940;top:9016;height:27;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19" o:spid="_x0000_s2493" o:spt="3" type="#_x0000_t3" style="position:absolute;left:4008;top:8964;height:25;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0" o:spid="_x0000_s2494" o:spt="3" type="#_x0000_t3" style="position:absolute;left:3904;top:9049;height:26;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1" o:spid="_x0000_s2495" o:spt="3" type="#_x0000_t3" style="position:absolute;left:4066;top:8891;height:14;width:2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2" o:spid="_x0000_s2496" o:spt="3" type="#_x0000_t3" style="position:absolute;left:4008;top:8924;height:14;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3" o:spid="_x0000_s2497" o:spt="3" type="#_x0000_t3" style="position:absolute;left:3969;top:8964;height:19;width:3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4" o:spid="_x0000_s2498" o:spt="3" type="#_x0000_t3" style="position:absolute;left:3889;top:8989;height:46;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5" o:spid="_x0000_s2499" o:spt="3" type="#_x0000_t3" style="position:absolute;left:3860;top:9016;height:65;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6" o:spid="_x0000_s2500" o:spt="3" type="#_x0000_t3" style="position:absolute;left:4051;top:8824;height:4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7" o:spid="_x0000_s2501" o:spt="3" type="#_x0000_t3" style="position:absolute;left:4102;top:8732;height:41;width:2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8" o:spid="_x0000_s2502" o:spt="3" type="#_x0000_t3" style="position:absolute;left:4124;top:8667;height:20;width:2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29" o:spid="_x0000_s2503" o:spt="3" type="#_x0000_t3" style="position:absolute;left:4139;top:8588;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0" o:spid="_x0000_s2504" o:spt="3" type="#_x0000_t3" style="position:absolute;left:4087;top:8562;height:7;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1" o:spid="_x0000_s2505" o:spt="3" type="#_x0000_t3" style="position:absolute;left:4094;top:8489;height:13;width:2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2" o:spid="_x0000_s2506" o:spt="3" type="#_x0000_t3" style="position:absolute;left:4132;top:8562;height:26;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3" o:spid="_x0000_s2507" o:spt="3" type="#_x0000_t3" style="position:absolute;left:4087;top:8562;height:53;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4" o:spid="_x0000_s2508" o:spt="3" type="#_x0000_t3" style="position:absolute;left:3580;top:9135;height:26;width:6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5" o:spid="_x0000_s2509" o:spt="3" type="#_x0000_t3" style="position:absolute;left:3565;top:9174;height:65;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6" o:spid="_x0000_s2510" o:spt="3" type="#_x0000_t3" style="position:absolute;left:3507;top:9194;height:52;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7" o:spid="_x0000_s2511" o:spt="3" type="#_x0000_t3" style="position:absolute;left:3434;top:9200;height:46;width:6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8" o:spid="_x0000_s2512" o:spt="3" type="#_x0000_t3" style="position:absolute;left:3485;top:9141;height:53;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39" o:spid="_x0000_s2513" o:spt="3" type="#_x0000_t3" style="position:absolute;left:3683;top:9155;height:39;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0" o:spid="_x0000_s2514" o:spt="3" type="#_x0000_t3" style="position:absolute;left:3750;top:9128;height:46;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1" o:spid="_x0000_s2515" o:spt="3" type="#_x0000_t3" style="position:absolute;left:3845;top:9087;height:48;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2" o:spid="_x0000_s2516" o:spt="3" type="#_x0000_t3" style="position:absolute;left:3867;top:9075;height:19;width:9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3" o:spid="_x0000_s2517" o:spt="3" type="#_x0000_t3" style="position:absolute;left:3955;top:9029;height:14;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4" o:spid="_x0000_s2518" o:spt="3" type="#_x0000_t3" style="position:absolute;left:3985;top:9003;height:13;width:52;"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5" o:spid="_x0000_s2519" o:spt="3" type="#_x0000_t3" style="position:absolute;left:4015;top:8944;height:34;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6" o:spid="_x0000_s2520" o:spt="3" type="#_x0000_t3" style="position:absolute;left:4022;top:8905;height:19;width:8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7" o:spid="_x0000_s2521" o:spt="3" type="#_x0000_t3" style="position:absolute;left:4102;top:8824;height:21;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8" o:spid="_x0000_s2522" o:spt="3" type="#_x0000_t3" style="position:absolute;left:4102;top:8754;height:5;width:4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49" o:spid="_x0000_s2523" o:spt="3" type="#_x0000_t3" style="position:absolute;left:4139;top:8687;height:7;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0" o:spid="_x0000_s2524" o:spt="3" type="#_x0000_t3" style="position:absolute;left:4118;top:8799;height:39;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1" o:spid="_x0000_s2525" o:spt="3" type="#_x0000_t3" style="position:absolute;left:3677;top:9180;height:7;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2" o:spid="_x0000_s2526" o:spt="3" type="#_x0000_t3" style="position:absolute;left:3565;top:9219;height:20;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3" o:spid="_x0000_s2527" o:spt="3" type="#_x0000_t3" style="position:absolute;left:3352;top:9214;height:51;width:2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4" o:spid="_x0000_s2528" o:spt="3" type="#_x0000_t3" style="position:absolute;left:3301;top:9155;height:52;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5" o:spid="_x0000_s2529" o:spt="3" type="#_x0000_t3" style="position:absolute;left:3295;top:9246;height:12;width:57;"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6" o:spid="_x0000_s2530" o:spt="3" type="#_x0000_t3" style="position:absolute;left:3375;top:9233;height:25;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7" o:spid="_x0000_s2531" o:spt="3" type="#_x0000_t3" style="position:absolute;left:4110;top:8773;height:13;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8" o:spid="_x0000_s2532" o:spt="3" type="#_x0000_t3" style="position:absolute;left:4169;top:8694;height:33;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59" o:spid="_x0000_s2533" o:spt="3" type="#_x0000_t3" style="position:absolute;left:4169;top:8635;height:20;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0" o:spid="_x0000_s2534" o:spt="3" type="#_x0000_t3" style="position:absolute;left:4153;top:8576;height:6;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1" o:spid="_x0000_s2535" o:spt="3" type="#_x0000_t3" style="position:absolute;left:4169;top:8529;height:7;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2" o:spid="_x0000_s2536" o:spt="3" type="#_x0000_t3" style="position:absolute;left:4205;top:8549;height:5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3" o:spid="_x0000_s2537" o:spt="3" type="#_x0000_t3" style="position:absolute;left:4191;top:8502;height:47;width:2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4" o:spid="_x0000_s2538" o:spt="3" type="#_x0000_t3" style="position:absolute;left:4147;top:8588;height:33;width:5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5" o:spid="_x0000_s2539" o:spt="3" type="#_x0000_t3" style="position:absolute;left:4139;top:8714;height:33;width:30;"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6" o:spid="_x0000_s2540" o:spt="3" type="#_x0000_t3" style="position:absolute;left:4139;top:8608;height:53;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7" o:spid="_x0000_s2541" o:spt="3" type="#_x0000_t3" style="position:absolute;left:4147;top:8489;height:47;width:6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8" o:spid="_x0000_s2542" o:spt="3" type="#_x0000_t3" style="position:absolute;left:3875;top:9168;height:19;width:9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69" o:spid="_x0000_s2543" o:spt="3" type="#_x0000_t3" style="position:absolute;left:3785;top:9258;height:28;width:6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0" o:spid="_x0000_s2544" o:spt="3" type="#_x0000_t3" style="position:absolute;left:3565;top:9214;height:5;width:19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1" o:spid="_x0000_s2545" o:spt="3" type="#_x0000_t3" style="position:absolute;left:3550;top:9318;height:60;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2" o:spid="_x0000_s2546" o:spt="3" type="#_x0000_t3" style="position:absolute;left:3623;top:9207;height:45;width:7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3" o:spid="_x0000_s2547" o:spt="3" type="#_x0000_t3" style="position:absolute;left:4022;top:9075;height:80;width:58;"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4" o:spid="_x0000_s2548" o:spt="3" type="#_x0000_t3" style="position:absolute;left:4058;top:8951;height:27;width:95;"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5" o:spid="_x0000_s2549" o:spt="3" type="#_x0000_t3" style="position:absolute;left:4147;top:8799;height:46;width:7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6" o:spid="_x0000_s2550" o:spt="3" type="#_x0000_t3" style="position:absolute;left:4257;top:8694;height:6;width:59;"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7" o:spid="_x0000_s2551" o:spt="3" type="#_x0000_t3" style="position:absolute;left:4102;top:9035;height:52;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8" o:spid="_x0000_s2552" o:spt="3" type="#_x0000_t3" style="position:absolute;left:4153;top:8897;height:21;width:10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79" o:spid="_x0000_s2553" o:spt="3" type="#_x0000_t3" style="position:absolute;left:4242;top:8732;height:22;width:4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0" o:spid="_x0000_s2554" o:spt="3" type="#_x0000_t3" style="position:absolute;left:3425;top:9313;height:18;width:7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1" o:spid="_x0000_s2555" o:spt="3" type="#_x0000_t3" style="position:absolute;left:3661;top:9286;height:7;width:1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2" o:spid="_x0000_s2556" o:spt="3" type="#_x0000_t3" style="position:absolute;left:3735;top:9207;height:19;width:74;"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3" o:spid="_x0000_s2557" o:spt="3" type="#_x0000_t3" style="position:absolute;left:3176;top:9293;height:51;width:8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4" o:spid="_x0000_s2558" o:spt="3" type="#_x0000_t3" style="position:absolute;left:3677;top:9258;height:60;width:43;"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5" o:spid="_x0000_s2559" o:spt="3" type="#_x0000_t3" style="position:absolute;left:3853;top:9200;height:26;width:36;"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6" o:spid="_x0000_s2560" o:spt="3" type="#_x0000_t3" style="position:absolute;left:3964;top:9114;height:27;width:51;" fillcolor="#CC9900" filled="t" o:preferrelative="t" stroked="t" coordsize="21600,21600">
              <v:path/>
              <v:fill on="t" focussize="0,0"/>
              <v:stroke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7" o:spid="_x0000_s2561" o:spt="3" type="#_x0000_t3" style="position:absolute;left:2726;top:8021;height:21;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8" o:spid="_x0000_s2562" o:spt="3" type="#_x0000_t3" style="position:absolute;left:2596;top:8223;height:11;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89" o:spid="_x0000_s2563" o:spt="3" type="#_x0000_t3" style="position:absolute;left:2743;top:8038;height:49;width:5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0" o:spid="_x0000_s2564" o:spt="3" type="#_x0000_t3" style="position:absolute;left:2448;top:8451;height:20;width:78;"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1" o:spid="_x0000_s2565" o:spt="3" type="#_x0000_t3" style="position:absolute;left:2539;top:8266;height:60;width:10;"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2" o:spid="_x0000_s2566" o:spt="3" type="#_x0000_t3" style="position:absolute;left:2698;top:8099;height:30;width:9;"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3" o:spid="_x0000_s2567" o:spt="3" type="#_x0000_t3" style="position:absolute;left:2562;top:8866;height:5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4" o:spid="_x0000_s2568" o:spt="3" type="#_x0000_t3" style="position:absolute;left:2720;top:9042;height:51;width:5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5" o:spid="_x0000_s2569" o:spt="3" type="#_x0000_t3" style="position:absolute;left:3948;top:8731;height:51;width:21;"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6" o:spid="_x0000_s2570" o:spt="3" type="#_x0000_t3" style="position:absolute;left:3970;top:8669;height:19;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7" o:spid="_x0000_s2571" o:spt="3" type="#_x0000_t3" style="position:absolute;left:3844;top:8048;height:39;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8" o:spid="_x0000_s2572" o:spt="3" type="#_x0000_t3" style="position:absolute;left:2526;top:8141;height:60;width:2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499" o:spid="_x0000_s2573" o:spt="3" type="#_x0000_t3" style="position:absolute;left:2619;top:8069;height:39;width:4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0" o:spid="_x0000_s2574" o:spt="3" type="#_x0000_t3" style="position:absolute;left:2493;top:8918;height:4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1" o:spid="_x0000_s2575" o:spt="3" type="#_x0000_t3" style="position:absolute;left:2629;top:8928;height:82;width:21;"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2" o:spid="_x0000_s2576" o:spt="3" type="#_x0000_t3" style="position:absolute;left:2505;top:8722;height:71;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3" o:spid="_x0000_s2577" o:spt="3" type="#_x0000_t3" style="position:absolute;left:3936;top:8255;height:30;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4" o:spid="_x0000_s2578" o:spt="3" type="#_x0000_t3" style="position:absolute;left:2459;top:8348;height:40;width:33;"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5" o:spid="_x0000_s2579" o:spt="3" type="#_x0000_t3" style="position:absolute;left:3562;top:7871;height:62;width:99;"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6" o:spid="_x0000_s2580" o:spt="3" type="#_x0000_t3" style="position:absolute;left:3936;top:8183;height:51;width:55;"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7" o:spid="_x0000_s2581" o:spt="3" type="#_x0000_t3" style="position:absolute;left:3993;top:8276;height:60;width:44;"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shape id="Oval 508" o:spid="_x0000_s2582" o:spt="3" type="#_x0000_t3" style="position:absolute;left:2526;top:8223;height:11;width:46;" fillcolor="#CC9900" filled="t" o:preferrelative="t" stroked="t" coordsize="21600,21600">
              <v:path/>
              <v:fill on="t" focussize="0,0"/>
              <v:stroke weight="1.62629921259843pt" color="#CC99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rect id="Rectangle 510" o:spid="_x0000_s2583" o:spt="1" style="position:absolute;left:4554;top:7383;height:878;width:1410;"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ascii="Arial" w:hAnsi="Arial" w:cs="宋体"/>
                        <w:b/>
                        <w:bCs/>
                        <w:color w:val="000000"/>
                        <w:sz w:val="24"/>
                        <w:lang w:val="zh-CN"/>
                      </w:rPr>
                    </w:pPr>
                    <w:r>
                      <w:rPr>
                        <w:rFonts w:hint="eastAsia" w:ascii="Arial" w:hAnsi="Arial" w:cs="宋体"/>
                        <w:b/>
                        <w:bCs/>
                        <w:color w:val="000000"/>
                        <w:sz w:val="24"/>
                        <w:lang w:val="zh-CN"/>
                      </w:rPr>
                      <w:t>污染物被拦截</w:t>
                    </w:r>
                  </w:p>
                  <w:p>
                    <w:pPr>
                      <w:autoSpaceDE w:val="0"/>
                      <w:autoSpaceDN w:val="0"/>
                      <w:adjustRightInd w:val="0"/>
                      <w:jc w:val="center"/>
                      <w:rPr>
                        <w:rFonts w:ascii="Arial" w:hAnsi="Arial" w:cs="宋体"/>
                        <w:b/>
                        <w:bCs/>
                        <w:color w:val="000000"/>
                        <w:sz w:val="24"/>
                      </w:rPr>
                    </w:pPr>
                    <w:r>
                      <w:rPr>
                        <w:rFonts w:hint="eastAsia" w:ascii="Arial" w:hAnsi="Arial" w:cs="宋体"/>
                        <w:b/>
                        <w:bCs/>
                        <w:color w:val="000000"/>
                        <w:sz w:val="24"/>
                        <w:lang w:val="zh-CN"/>
                      </w:rPr>
                      <w:t>在纤维外壁</w:t>
                    </w:r>
                  </w:p>
                </w:txbxContent>
              </v:textbox>
            </v:rect>
            <v:line id="Line 511" o:spid="_x0000_s2584" o:spt="20" style="position:absolute;left:4062;top:7916;flip:x;height:417;width:956;v-text-anchor:middle;" fillcolor="#FFFFFF" filled="f" o:preferrelative="t" stroked="t" coordsize="21600,21600">
              <v:path arrowok="t"/>
              <v:fill on="f" color2="#FFFFFF" focussize="0,0"/>
              <v:stroke color="#000000" color2="#FFFFFF" miterlimit="2" startarrowwidth="narrow" startarrowlength="short" endarrow="block"/>
              <v:imagedata gain="65536f" blacklevel="0f" gamma="0" o:title=""/>
              <o:lock v:ext="edit" position="f" selection="f" grouping="f" rotation="f" cropping="f" text="f" aspectratio="f"/>
            </v:line>
            <v:rect id="Rectangle 513" o:spid="_x0000_s2585" o:spt="1" style="position:absolute;left:2664;top:7383;height:243;width:793;"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cs="宋体"/>
                        <w:b/>
                        <w:bCs/>
                        <w:color w:val="000000"/>
                        <w:sz w:val="24"/>
                        <w:lang w:val="zh-CN"/>
                      </w:rPr>
                    </w:pPr>
                    <w:r>
                      <w:rPr>
                        <w:rFonts w:hint="eastAsia" w:ascii="Arial" w:hAnsi="Arial" w:cs="宋体"/>
                        <w:b/>
                        <w:bCs/>
                        <w:color w:val="000000"/>
                        <w:sz w:val="24"/>
                        <w:lang w:val="zh-CN"/>
                      </w:rPr>
                      <w:t>进水</w:t>
                    </w:r>
                  </w:p>
                </w:txbxContent>
              </v:textbox>
            </v:rect>
            <v:group id="Group 514" o:spid="_x0000_s2586" o:spt="203" style="position:absolute;left:2530;top:7879;height:1286;width:1444;" coordorigin="683,1772" coordsize="1322,1295">
              <o:lock v:ext="edit" position="f" selection="f" grouping="f" rotation="f" cropping="f" text="f" aspectratio="f"/>
              <v:shape id="Oval 515" o:spid="_x0000_s2587" o:spt="3" type="#_x0000_t3" style="position:absolute;left:683;top:1772;height:1295;width:1322;" fillcolor="#FFFFFF" filled="t" o:preferrelative="t" stroked="t" coordsize="21600,21600">
                <v:path/>
                <v:fill type="tile" on="t" color2="#FFFFFF" focussize="0,0" r:id="rId41"/>
                <v:stroke weight="2.37685039370079pt" color="#000000" color2="#FFFFFF" miterlimit="2"/>
                <v:imagedata gain="65536f" blacklevel="0f" gamma="0" o:title=""/>
                <o:lock v:ext="edit" position="f" selection="f" grouping="f" rotation="f" cropping="f" text="f" aspectratio="f"/>
                <v:textbox>
                  <w:txbxContent>
                    <w:p>
                      <w:pPr>
                        <w:autoSpaceDE w:val="0"/>
                        <w:autoSpaceDN w:val="0"/>
                        <w:adjustRightInd w:val="0"/>
                        <w:rPr>
                          <w:rFonts w:ascii="Arial" w:hAnsi="Arial" w:cs="宋体"/>
                          <w:b/>
                          <w:bCs/>
                          <w:color w:val="000000"/>
                          <w:sz w:val="72"/>
                          <w:szCs w:val="72"/>
                          <w:lang w:val="zh-CN"/>
                        </w:rPr>
                      </w:pPr>
                    </w:p>
                  </w:txbxContent>
                </v:textbox>
              </v:shape>
              <v:group id="Group 516" o:spid="_x0000_s2588" o:spt="203" style="position:absolute;left:985;top:2074;height:700;width:708;" coordorigin="985,2074" coordsize="708,700">
                <o:lock v:ext="edit" position="f" selection="f" grouping="f" rotation="f" cropping="f" text="f" aspectratio="f"/>
                <v:shape id="Oval 517" o:spid="_x0000_s2589" o:spt="3" type="#_x0000_t3" style="position:absolute;left:985;top:2074;height:700;width:708;" fillcolor="#00CCFF" filled="t" o:preferrelative="t" stroked="t" coordsize="21600,21600">
                  <v:path/>
                  <v:fill on="t" focussize="0,0"/>
                  <v:stroke weight="2.37685039370079pt" color="#000000" color2="#FFFFFF" miterlimit="2"/>
                  <v:imagedata gain="65536f" blacklevel="0f" gamma="0" o:title=""/>
                  <o:lock v:ext="edit" position="f" selection="f" grouping="f" rotation="f" cropping="f" text="f" aspectratio="f"/>
                  <v:textbox>
                    <w:txbxContent>
                      <w:p>
                        <w:pPr>
                          <w:autoSpaceDE w:val="0"/>
                          <w:autoSpaceDN w:val="0"/>
                          <w:adjustRightInd w:val="0"/>
                          <w:jc w:val="center"/>
                          <w:rPr>
                            <w:rFonts w:ascii="Arial" w:hAnsi="Arial" w:cs="宋体"/>
                            <w:b/>
                            <w:bCs/>
                            <w:color w:val="000000"/>
                            <w:sz w:val="72"/>
                            <w:szCs w:val="72"/>
                            <w:lang w:val="zh-CN"/>
                          </w:rPr>
                        </w:pPr>
                      </w:p>
                    </w:txbxContent>
                  </v:textbox>
                </v:shape>
                <v:rect id="Rectangle 518" o:spid="_x0000_s2590" o:spt="1" style="position:absolute;left:1094;top:2334;height:221;width:350;"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rPr>
                            <w:rFonts w:cs="宋体"/>
                            <w:b/>
                            <w:bCs/>
                            <w:color w:val="000000"/>
                            <w:sz w:val="24"/>
                            <w:lang w:val="zh-CN"/>
                          </w:rPr>
                        </w:pPr>
                        <w:r>
                          <w:rPr>
                            <w:rFonts w:hint="eastAsia" w:ascii="Arial" w:hAnsi="Arial" w:cs="宋体"/>
                            <w:b/>
                            <w:bCs/>
                            <w:color w:val="000000"/>
                            <w:sz w:val="18"/>
                            <w:szCs w:val="18"/>
                            <w:lang w:val="zh-CN"/>
                          </w:rPr>
                          <w:t>产水</w:t>
                        </w:r>
                      </w:p>
                    </w:txbxContent>
                  </v:textbox>
                </v:rect>
              </v:group>
            </v:group>
            <v:rect id="Rectangle 520" o:spid="_x0000_s2591" o:spt="1" style="position:absolute;left:5077;top:8496;height:382;width:573;" fillcolor="#FFFFFF" filled="f" o:preferrelative="t" stroked="f" coordsize="21600,21600">
              <v:path/>
              <v:fill on="f" color2="#FFFFFF" focussize="0,0"/>
              <v:stroke on="f"/>
              <v:imagedata gain="65536f" blacklevel="0f" gamma="0" o:title=""/>
              <o:lock v:ext="edit" position="f" selection="f" grouping="f" rotation="f" cropping="f" text="f" aspectratio="f"/>
              <v:textbox inset="0mm,0mm,0mm,0mm">
                <w:txbxContent>
                  <w:p>
                    <w:pPr>
                      <w:autoSpaceDE w:val="0"/>
                      <w:autoSpaceDN w:val="0"/>
                      <w:adjustRightInd w:val="0"/>
                      <w:jc w:val="center"/>
                      <w:rPr>
                        <w:rFonts w:ascii="Arial" w:hAnsi="Arial" w:cs="宋体"/>
                        <w:b/>
                        <w:bCs/>
                        <w:color w:val="000000"/>
                        <w:sz w:val="24"/>
                        <w:lang w:val="zh-CN"/>
                      </w:rPr>
                    </w:pPr>
                    <w:r>
                      <w:rPr>
                        <w:rFonts w:hint="eastAsia" w:ascii="Arial" w:hAnsi="Arial" w:cs="宋体"/>
                        <w:b/>
                        <w:bCs/>
                        <w:color w:val="000000"/>
                        <w:sz w:val="24"/>
                        <w:lang w:val="zh-CN"/>
                      </w:rPr>
                      <w:t>膜壁</w:t>
                    </w:r>
                  </w:p>
                </w:txbxContent>
              </v:textbox>
            </v:rect>
            <v:line id="Line 521" o:spid="_x0000_s2592" o:spt="20" style="position:absolute;left:3760;top:8637;flip:x;height:0;width:1144;v-text-anchor:middle;" fillcolor="#FFFFFF" filled="f" o:preferrelative="t" stroked="t" coordsize="21600,21600">
              <v:path arrowok="t"/>
              <v:fill on="f" color2="#FFFFFF" focussize="0,0"/>
              <v:stroke color="#000000" color2="#FFFFFF" miterlimit="2" startarrowwidth="narrow" startarrowlength="short" endarrow="block"/>
              <v:imagedata gain="65536f" blacklevel="0f" gamma="0" o:title=""/>
              <o:lock v:ext="edit" position="f" selection="f" grouping="f" rotation="f" cropping="f" text="f" aspectratio="f"/>
            </v:line>
          </v:group>
        </w:pict>
      </w:r>
    </w:p>
    <w:p>
      <w:pPr>
        <w:spacing w:beforeLines="50" w:afterLines="50"/>
        <w:jc w:val="both"/>
        <w:rPr>
          <w:rFonts w:ascii="Times New Roman" w:hAnsi="Times New Roman" w:eastAsia="黑体" w:cs="Times New Roman"/>
          <w:sz w:val="24"/>
        </w:rPr>
      </w:pPr>
    </w:p>
    <w:p>
      <w:pPr>
        <w:spacing w:beforeLines="50" w:afterLines="50"/>
        <w:jc w:val="both"/>
        <w:rPr>
          <w:rFonts w:ascii="Times New Roman" w:hAnsi="Times New Roman" w:eastAsia="黑体" w:cs="Times New Roman"/>
          <w:sz w:val="24"/>
        </w:rPr>
      </w:pPr>
    </w:p>
    <w:p>
      <w:pPr>
        <w:spacing w:beforeLines="50" w:afterLines="50"/>
        <w:jc w:val="both"/>
        <w:rPr>
          <w:rFonts w:ascii="Times New Roman" w:hAnsi="Times New Roman" w:eastAsia="黑体" w:cs="Times New Roman"/>
          <w:sz w:val="24"/>
        </w:rPr>
      </w:pPr>
    </w:p>
    <w:p>
      <w:pPr>
        <w:spacing w:beforeLines="50" w:afterLines="50"/>
        <w:jc w:val="both"/>
        <w:rPr>
          <w:rFonts w:ascii="Times New Roman" w:hAnsi="Times New Roman" w:eastAsia="黑体" w:cs="Times New Roman"/>
          <w:sz w:val="24"/>
        </w:rPr>
      </w:pPr>
    </w:p>
    <w:p>
      <w:pPr>
        <w:spacing w:beforeLines="50" w:afterLines="50"/>
        <w:jc w:val="both"/>
        <w:rPr>
          <w:rFonts w:ascii="Times New Roman" w:hAnsi="Times New Roman" w:eastAsia="黑体" w:cs="Times New Roman"/>
          <w:sz w:val="24"/>
        </w:rPr>
      </w:pPr>
    </w:p>
    <w:p>
      <w:pPr>
        <w:widowControl w:val="0"/>
        <w:wordWrap/>
        <w:adjustRightInd/>
        <w:snapToGrid/>
        <w:spacing w:line="360" w:lineRule="auto"/>
        <w:jc w:val="center"/>
        <w:textAlignment w:val="auto"/>
        <w:outlineLvl w:val="9"/>
        <w:rPr>
          <w:rFonts w:ascii="Times New Roman" w:hAnsi="Times New Roman" w:eastAsia="黑体" w:cs="Times New Roman"/>
          <w:sz w:val="24"/>
        </w:rPr>
      </w:pPr>
      <w:r>
        <w:rPr>
          <w:rFonts w:hint="eastAsia" w:ascii="宋体" w:hAnsi="宋体" w:eastAsia="宋体" w:cs="宋体"/>
          <w:sz w:val="24"/>
        </w:rPr>
        <w:t>图3.</w:t>
      </w:r>
      <w:r>
        <w:rPr>
          <w:rFonts w:hint="eastAsia" w:ascii="宋体" w:hAnsi="宋体" w:eastAsia="宋体" w:cs="宋体"/>
          <w:sz w:val="24"/>
          <w:lang w:val="en-US" w:eastAsia="zh-CN"/>
        </w:rPr>
        <w:t>6-5</w:t>
      </w:r>
      <w:r>
        <w:rPr>
          <w:rFonts w:hint="eastAsia" w:ascii="宋体" w:hAnsi="宋体" w:eastAsia="宋体" w:cs="宋体"/>
          <w:sz w:val="24"/>
        </w:rPr>
        <w:t xml:space="preserve">  超滤膜过滤原理图</w:t>
      </w:r>
    </w:p>
    <w:p>
      <w:pPr>
        <w:spacing w:beforeLines="50" w:afterLines="50" w:line="360" w:lineRule="auto"/>
        <w:ind w:firstLine="480" w:firstLineChars="200"/>
        <w:jc w:val="both"/>
        <w:rPr>
          <w:rFonts w:hint="eastAsia" w:ascii="宋体" w:hAnsi="宋体" w:eastAsia="宋体" w:cs="宋体"/>
          <w:sz w:val="24"/>
        </w:rPr>
      </w:pPr>
      <w:bookmarkStart w:id="48" w:name="_Toc420506107"/>
      <w:bookmarkStart w:id="49" w:name="_Toc408241701"/>
      <w:r>
        <w:rPr>
          <w:rFonts w:hint="eastAsia" w:ascii="宋体" w:hAnsi="宋体" w:eastAsia="宋体" w:cs="宋体"/>
          <w:sz w:val="24"/>
        </w:rPr>
        <w:t>5.反渗透（RO）装置</w:t>
      </w:r>
      <w:bookmarkEnd w:id="48"/>
      <w:bookmarkEnd w:id="49"/>
    </w:p>
    <w:p>
      <w:pPr>
        <w:spacing w:beforeLines="50" w:afterLines="50" w:line="360" w:lineRule="auto"/>
        <w:ind w:firstLine="480" w:firstLineChars="200"/>
        <w:jc w:val="both"/>
        <w:rPr>
          <w:rFonts w:hint="eastAsia" w:ascii="宋体" w:hAnsi="宋体" w:eastAsia="宋体" w:cs="宋体"/>
          <w:sz w:val="24"/>
        </w:rPr>
      </w:pPr>
      <w:r>
        <w:rPr>
          <w:rFonts w:hint="eastAsia" w:ascii="宋体" w:hAnsi="宋体" w:eastAsia="宋体" w:cs="宋体"/>
          <w:sz w:val="24"/>
        </w:rPr>
        <w:t>反渗透又称逆渗透，一种以</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"http://baike.baidu.com/view/1114031.htm" \t "_blank"</w:instrText>
      </w:r>
      <w:r>
        <w:rPr>
          <w:rFonts w:hint="eastAsia" w:ascii="宋体" w:hAnsi="宋体" w:eastAsia="宋体" w:cs="宋体"/>
          <w:sz w:val="24"/>
        </w:rPr>
        <w:fldChar w:fldCharType="separate"/>
      </w:r>
      <w:r>
        <w:rPr>
          <w:rFonts w:hint="eastAsia" w:ascii="宋体" w:hAnsi="宋体" w:eastAsia="宋体" w:cs="宋体"/>
          <w:sz w:val="24"/>
        </w:rPr>
        <w:t>压力差</w:t>
      </w:r>
      <w:r>
        <w:rPr>
          <w:rFonts w:hint="eastAsia" w:ascii="宋体" w:hAnsi="宋体" w:eastAsia="宋体" w:cs="宋体"/>
          <w:sz w:val="24"/>
        </w:rPr>
        <w:fldChar w:fldCharType="end"/>
      </w:r>
      <w:r>
        <w:rPr>
          <w:rFonts w:hint="eastAsia" w:ascii="宋体" w:hAnsi="宋体" w:eastAsia="宋体" w:cs="宋体"/>
          <w:sz w:val="24"/>
        </w:rPr>
        <w:t>为推动力，从</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"http://baike.baidu.com/view/57905.htm" \t "_blank"</w:instrText>
      </w:r>
      <w:r>
        <w:rPr>
          <w:rFonts w:hint="eastAsia" w:ascii="宋体" w:hAnsi="宋体" w:eastAsia="宋体" w:cs="宋体"/>
          <w:sz w:val="24"/>
        </w:rPr>
        <w:fldChar w:fldCharType="separate"/>
      </w:r>
      <w:r>
        <w:rPr>
          <w:rFonts w:hint="eastAsia" w:ascii="宋体" w:hAnsi="宋体" w:eastAsia="宋体" w:cs="宋体"/>
          <w:sz w:val="24"/>
        </w:rPr>
        <w:t>溶液</w:t>
      </w:r>
      <w:r>
        <w:rPr>
          <w:rFonts w:hint="eastAsia" w:ascii="宋体" w:hAnsi="宋体" w:eastAsia="宋体" w:cs="宋体"/>
          <w:sz w:val="24"/>
        </w:rPr>
        <w:fldChar w:fldCharType="end"/>
      </w:r>
      <w:r>
        <w:rPr>
          <w:rFonts w:hint="eastAsia" w:ascii="宋体" w:hAnsi="宋体" w:eastAsia="宋体" w:cs="宋体"/>
          <w:sz w:val="24"/>
        </w:rPr>
        <w:t>中分离出溶剂的膜分离操作。因为它和自然渗透的方向相反，故称反渗透。根据各种物料的不同渗透压，就可以使用大于渗透压的反渗透压力，即</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"http://baike.baidu.com/view/1168456.htm" \t "_blank"</w:instrText>
      </w:r>
      <w:r>
        <w:rPr>
          <w:rFonts w:hint="eastAsia" w:ascii="宋体" w:hAnsi="宋体" w:eastAsia="宋体" w:cs="宋体"/>
          <w:sz w:val="24"/>
        </w:rPr>
        <w:fldChar w:fldCharType="separate"/>
      </w:r>
      <w:r>
        <w:rPr>
          <w:rFonts w:hint="eastAsia" w:ascii="宋体" w:hAnsi="宋体" w:eastAsia="宋体" w:cs="宋体"/>
          <w:sz w:val="24"/>
        </w:rPr>
        <w:t>反渗透法</w:t>
      </w:r>
      <w:r>
        <w:rPr>
          <w:rFonts w:hint="eastAsia" w:ascii="宋体" w:hAnsi="宋体" w:eastAsia="宋体" w:cs="宋体"/>
          <w:sz w:val="24"/>
        </w:rPr>
        <w:fldChar w:fldCharType="end"/>
      </w:r>
      <w:r>
        <w:rPr>
          <w:rFonts w:hint="eastAsia" w:ascii="宋体" w:hAnsi="宋体" w:eastAsia="宋体" w:cs="宋体"/>
          <w:sz w:val="24"/>
        </w:rPr>
        <w:t>，达到分离、提取、纯化和浓缩的目的。</w:t>
      </w:r>
    </w:p>
    <w:p>
      <w:pPr>
        <w:spacing w:beforeLines="50" w:afterLines="50" w:line="360" w:lineRule="auto"/>
        <w:ind w:firstLine="480" w:firstLineChars="200"/>
        <w:jc w:val="both"/>
        <w:rPr>
          <w:rFonts w:hint="eastAsia" w:ascii="宋体" w:hAnsi="宋体" w:eastAsia="宋体" w:cs="宋体"/>
          <w:sz w:val="24"/>
        </w:rPr>
      </w:pPr>
      <w:r>
        <w:rPr>
          <w:rFonts w:hint="eastAsia" w:ascii="宋体" w:hAnsi="宋体" w:eastAsia="宋体" w:cs="宋体"/>
          <w:sz w:val="24"/>
        </w:rPr>
        <w:t>把相同体积的稀溶液（如淡水）和浓液（如海水或盐水）分别置于一容器的两侧，中间用半透膜阻隔，稀溶液中的溶剂将自然的穿过半透膜，向浓溶液侧流动，浓溶液侧的液面会比稀溶液的液面高出一定高度，形成一个压力差，达到渗透平衡状态，此种压力差即为渗透压，渗透压的大小决定于浓液的种类，浓度和温度，与半透膜的性质无关。若在</w:t>
      </w:r>
      <w:r>
        <w:rPr>
          <w:rFonts w:hint="eastAsia" w:ascii="宋体" w:hAnsi="宋体" w:eastAsia="宋体" w:cs="宋体"/>
          <w:sz w:val="24"/>
        </w:rPr>
        <w:fldChar w:fldCharType="begin"/>
      </w:r>
      <w:r>
        <w:rPr>
          <w:rFonts w:hint="eastAsia" w:ascii="宋体" w:hAnsi="宋体" w:eastAsia="宋体" w:cs="宋体"/>
          <w:sz w:val="24"/>
        </w:rPr>
        <w:instrText xml:space="preserve">HYPERLINK "http://baike.baidu.com/view/2281659.htm" \t "_blank"</w:instrText>
      </w:r>
      <w:r>
        <w:rPr>
          <w:rFonts w:hint="eastAsia" w:ascii="宋体" w:hAnsi="宋体" w:eastAsia="宋体" w:cs="宋体"/>
          <w:sz w:val="24"/>
        </w:rPr>
        <w:fldChar w:fldCharType="separate"/>
      </w:r>
      <w:r>
        <w:rPr>
          <w:rFonts w:hint="eastAsia" w:ascii="宋体" w:hAnsi="宋体" w:eastAsia="宋体" w:cs="宋体"/>
          <w:sz w:val="24"/>
        </w:rPr>
        <w:t>浓溶液</w:t>
      </w:r>
      <w:r>
        <w:rPr>
          <w:rFonts w:hint="eastAsia" w:ascii="宋体" w:hAnsi="宋体" w:eastAsia="宋体" w:cs="宋体"/>
          <w:sz w:val="24"/>
        </w:rPr>
        <w:fldChar w:fldCharType="end"/>
      </w:r>
      <w:r>
        <w:rPr>
          <w:rFonts w:hint="eastAsia" w:ascii="宋体" w:hAnsi="宋体" w:eastAsia="宋体" w:cs="宋体"/>
          <w:sz w:val="24"/>
        </w:rPr>
        <w:t>侧施加一个大于渗透压的压力时，浓溶液中的溶剂会向稀溶液流动，此种溶剂的流动方向与原来渗透的方向相反，这一过程称为反渗透。</w:t>
      </w:r>
    </w:p>
    <w:p>
      <w:pPr>
        <w:spacing w:beforeLines="50" w:afterLines="50"/>
        <w:jc w:val="both"/>
        <w:rPr>
          <w:rFonts w:ascii="Times New Roman" w:hAnsi="Times New Roman" w:eastAsia="黑体" w:cs="Times New Roman"/>
          <w:sz w:val="24"/>
        </w:rPr>
      </w:pPr>
    </w:p>
    <w:p>
      <w:pPr>
        <w:spacing w:beforeLines="50" w:afterLines="50"/>
        <w:jc w:val="center"/>
        <w:rPr>
          <w:rFonts w:ascii="Times New Roman" w:hAnsi="Times New Roman" w:eastAsia="黑体" w:cs="Times New Roman"/>
          <w:sz w:val="24"/>
        </w:rPr>
      </w:pPr>
      <w:r>
        <w:rPr>
          <w:rFonts w:ascii="Times New Roman" w:hAnsi="Times New Roman" w:eastAsia="黑体" w:cs="Times New Roman"/>
          <w:kern w:val="2"/>
          <w:sz w:val="24"/>
          <w:szCs w:val="24"/>
          <w:lang w:val="en-US" w:eastAsia="zh-CN" w:bidi="ar-SA"/>
        </w:rPr>
        <w:pict>
          <v:shape id="_x0000_i1036" o:spt="75" type="#_x0000_t75" style="height:177.55pt;width:201pt;" fillcolor="#FFFFFF" filled="f" o:preferrelative="t" stroked="f" coordsize="21600,21600">
            <v:path/>
            <v:fill on="f" color2="#FFFFFF" focussize="0,0"/>
            <v:stroke on="f"/>
            <v:imagedata r:id="rId42" gain="65536f" blacklevel="0f" gamma="0" o:title=""/>
            <o:lock v:ext="edit" position="f" selection="f" grouping="f" rotation="f" cropping="f" text="f" aspectratio="t"/>
            <w10:wrap type="none"/>
            <w10:anchorlock/>
          </v:shape>
        </w:pict>
      </w:r>
    </w:p>
    <w:p>
      <w:pPr>
        <w:spacing w:beforeLines="50" w:afterLines="50"/>
        <w:jc w:val="center"/>
        <w:rPr>
          <w:rFonts w:hint="eastAsia" w:ascii="宋体" w:hAnsi="宋体" w:eastAsia="宋体" w:cs="宋体"/>
          <w:b w:val="0"/>
          <w:bCs w:val="0"/>
          <w:sz w:val="24"/>
        </w:rPr>
      </w:pPr>
      <w:r>
        <w:rPr>
          <w:rFonts w:hint="eastAsia" w:ascii="宋体" w:hAnsi="宋体" w:eastAsia="宋体" w:cs="宋体"/>
          <w:b w:val="0"/>
          <w:bCs w:val="0"/>
          <w:sz w:val="24"/>
        </w:rPr>
        <w:t>图3.</w:t>
      </w:r>
      <w:r>
        <w:rPr>
          <w:rFonts w:hint="eastAsia" w:ascii="宋体" w:hAnsi="宋体" w:eastAsia="宋体" w:cs="宋体"/>
          <w:b w:val="0"/>
          <w:bCs w:val="0"/>
          <w:sz w:val="24"/>
          <w:lang w:val="en-US" w:eastAsia="zh-CN"/>
        </w:rPr>
        <w:t>6-6</w:t>
      </w:r>
      <w:r>
        <w:rPr>
          <w:rFonts w:hint="eastAsia" w:ascii="宋体" w:hAnsi="宋体" w:eastAsia="宋体" w:cs="宋体"/>
          <w:b w:val="0"/>
          <w:bCs w:val="0"/>
          <w:sz w:val="24"/>
        </w:rPr>
        <w:t xml:space="preserve">  渗透/反渗透原理图</w:t>
      </w:r>
    </w:p>
    <w:p>
      <w:pPr>
        <w:pStyle w:val="5"/>
        <w:ind w:firstLine="480"/>
        <w:rPr>
          <w:rFonts w:hint="eastAsia" w:ascii="宋体" w:hAnsi="宋体" w:cs="宋体"/>
          <w:b w:val="0"/>
          <w:bCs w:val="0"/>
          <w:sz w:val="24"/>
          <w:lang w:val="en-US" w:eastAsia="zh-CN"/>
        </w:rPr>
      </w:pPr>
      <w:r>
        <w:rPr>
          <w:rFonts w:hint="eastAsia" w:ascii="宋体" w:hAnsi="宋体" w:cs="宋体"/>
          <w:b w:val="0"/>
          <w:bCs w:val="0"/>
          <w:sz w:val="24"/>
          <w:lang w:val="en-US" w:eastAsia="zh-CN"/>
        </w:rPr>
        <w:t>中水处理工艺见图3.6-7。</w:t>
      </w: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ind w:firstLine="480" w:firstLineChars="200"/>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r>
        <w:rPr>
          <w:rFonts w:ascii="Calibri" w:hAnsi="Calibri" w:eastAsia="宋体" w:cs="黑体"/>
          <w:kern w:val="2"/>
          <w:sz w:val="24"/>
          <w:szCs w:val="24"/>
          <w:lang w:val="en-US" w:eastAsia="zh-CN" w:bidi="ar-SA"/>
        </w:rPr>
        <w:pict>
          <v:group id="Group 2135" o:spid="_x0000_s2593" o:spt="203" style="position:absolute;left:0pt;margin-left:76.25pt;margin-top:-0.85pt;height:530.4pt;width:224.3pt;z-index:251725824;mso-width-relative:page;mso-height-relative:page;" coordorigin="17481,287551" coordsize="4486,10608">
            <o:lock v:ext="edit" position="f" selection="f" grouping="f" rotation="f" cropping="f" text="f" aspectratio="f"/>
            <v:shape id="Quad Arrow 7174" o:spid="_x0000_s2594" o:spt="202" type="#_x0000_t202" style="position:absolute;left:18338;top:297877;height:282;width:2821;"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循环冷却水</w:t>
                    </w:r>
                  </w:p>
                </w:txbxContent>
              </v:textbox>
            </v:shape>
            <v:shape id="Quad Arrow 7199" o:spid="_x0000_s2595" o:spt="202" type="#_x0000_t202" style="position:absolute;left:17481;top:287551;height:624;width:4486;" fillcolor="#FFFFFF" filled="t" o:preferrelative="t" stroked="f" coordsize="21600,21600">
              <v:path/>
              <v:fill on="t" focussize="0,0"/>
              <v:stroke on="f"/>
              <v:imagedata gain="65536f" blacklevel="0f" gamma="0" o:title=""/>
              <o:lock v:ext="edit" position="f" selection="f" grouping="f" rotation="f" cropping="f" text="f" aspectratio="f"/>
              <v:textbox inset="1.42pt,0.85pt,1.42pt,0.85pt">
                <w:txbxContent>
                  <w:p>
                    <w:pPr>
                      <w:jc w:val="center"/>
                      <w:rPr>
                        <w:szCs w:val="21"/>
                      </w:rPr>
                    </w:pPr>
                    <w:r>
                      <w:rPr>
                        <w:rFonts w:hint="eastAsia"/>
                        <w:color w:val="000000"/>
                        <w:szCs w:val="21"/>
                      </w:rPr>
                      <w:t>222A反洗水、超滤反洗水、循环水排水、斜管/虹吸滤池排水、斜管沉淀池/D型滤池排水</w:t>
                    </w:r>
                  </w:p>
                </w:txbxContent>
              </v:textbox>
            </v:shape>
          </v:group>
        </w:pict>
      </w:r>
    </w:p>
    <w:p>
      <w:pPr>
        <w:spacing w:line="360" w:lineRule="auto"/>
        <w:jc w:val="center"/>
        <w:rPr>
          <w:sz w:val="24"/>
        </w:rPr>
      </w:pPr>
      <w:r>
        <w:rPr>
          <w:rFonts w:ascii="Calibri" w:hAnsi="Calibri" w:eastAsia="宋体" w:cs="黑体"/>
          <w:kern w:val="2"/>
          <w:sz w:val="24"/>
          <w:szCs w:val="24"/>
          <w:lang w:val="en-US" w:eastAsia="zh-CN" w:bidi="ar-SA"/>
        </w:rPr>
        <w:pict>
          <v:line id="Line 7207" o:spid="_x0000_s2596" o:spt="20" style="position:absolute;left:0pt;margin-left:189.15pt;margin-top:9.2pt;height:31.2pt;width:0.05pt;z-index:25173094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Calibri" w:hAnsi="Calibri" w:eastAsia="宋体" w:cs="黑体"/>
          <w:kern w:val="2"/>
          <w:sz w:val="24"/>
          <w:szCs w:val="24"/>
          <w:lang w:val="en-US" w:eastAsia="zh-CN" w:bidi="ar-SA"/>
        </w:rPr>
        <w:pict>
          <v:shape id="Quad Arrow 2043" o:spid="_x0000_s2597" o:spt="202" type="#_x0000_t202" style="position:absolute;left:0pt;margin-left:72.05pt;margin-top:17.6pt;height:159.8pt;width:213.45pt;z-index:251696128;mso-width-relative:page;mso-height-relative:page;" fillcolor="#FFFFFF" filled="t" o:preferrelative="t" stroked="t" coordsize="21600,21600">
            <v:path/>
            <v:fill on="t" opacity="0f" focussize="0,0"/>
            <v:stroke color="#FF0000" color2="#FFFFFF" miterlimit="2" dashstyle="dash"/>
            <v:imagedata gain="65536f" blacklevel="0f" gamma="0" o:title=""/>
            <o:lock v:ext="edit" position="f" selection="f" grouping="f" rotation="f" cropping="f" text="f" aspectratio="f"/>
            <v:textbox inset="1.42pt,0.85pt,1.42pt,0.85pt">
              <w:txbxContent>
                <w:p>
                  <w:pPr>
                    <w:rPr>
                      <w:i/>
                      <w:color w:val="FF0000"/>
                    </w:rPr>
                  </w:pPr>
                  <w:r>
                    <w:rPr>
                      <w:rFonts w:hint="eastAsia"/>
                      <w:i/>
                      <w:color w:val="FF0000"/>
                    </w:rPr>
                    <w:t>软化预处理阶段</w:t>
                  </w:r>
                </w:p>
                <w:p/>
              </w:txbxContent>
            </v:textbox>
          </v:shape>
        </w:pict>
      </w:r>
    </w:p>
    <w:p>
      <w:pPr>
        <w:rPr>
          <w:rFonts w:hint="eastAsia"/>
          <w:lang w:val="en-US" w:eastAsia="zh-CN"/>
        </w:rPr>
      </w:pPr>
    </w:p>
    <w:p>
      <w:pPr>
        <w:pStyle w:val="5"/>
        <w:rPr>
          <w:rFonts w:ascii="Times New Roman" w:hAnsi="Times New Roman" w:cs="Times New Roman"/>
          <w:sz w:val="24"/>
          <w:szCs w:val="24"/>
        </w:rPr>
      </w:pPr>
      <w:bookmarkStart w:id="50" w:name="_Toc6139"/>
      <w:r>
        <w:rPr>
          <w:rFonts w:ascii="Arial" w:hAnsi="Arial" w:eastAsia="宋体" w:cs="黑体"/>
          <w:b/>
          <w:bCs/>
          <w:kern w:val="2"/>
          <w:sz w:val="24"/>
          <w:szCs w:val="32"/>
          <w:lang w:val="en-US" w:eastAsia="zh-CN" w:bidi="ar-SA"/>
        </w:rPr>
        <w:pict>
          <v:shape id="Quad Arrow 7215" o:spid="_x0000_s2598" o:spt="202" type="#_x0000_t202" style="position:absolute;left:0pt;margin-left:231.65pt;margin-top:2.6pt;height:13.2pt;width:43.4pt;z-index:2517360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反洗排水</w:t>
                  </w:r>
                </w:p>
              </w:txbxContent>
            </v:textbox>
          </v:shape>
        </w:pict>
      </w:r>
      <w:r>
        <w:rPr>
          <w:rFonts w:ascii="Arial" w:hAnsi="Arial" w:eastAsia="宋体" w:cs="黑体"/>
          <w:b/>
          <w:bCs/>
          <w:kern w:val="2"/>
          <w:sz w:val="24"/>
          <w:szCs w:val="32"/>
          <w:lang w:val="en-US" w:eastAsia="zh-CN" w:bidi="ar-SA"/>
        </w:rPr>
        <w:pict>
          <v:shape id="Straight Connector 7211" o:spid="_x0000_s2599" o:spt="32" type="#_x0000_t32" style="position:absolute;left:0pt;flip:x;margin-left:229pt;margin-top:17.75pt;height:0.05pt;width:40.9pt;z-index:251735040;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kern w:val="2"/>
          <w:sz w:val="24"/>
          <w:szCs w:val="32"/>
          <w:lang w:val="en-US" w:eastAsia="zh-CN" w:bidi="ar-SA"/>
        </w:rPr>
        <w:pict>
          <v:shape id="Quad Arrow 7200" o:spid="_x0000_s2600" o:spt="202" type="#_x0000_t202" style="position:absolute;left:0pt;margin-left:149.75pt;margin-top:7.1pt;height:18.15pt;width:78.95pt;z-index:25172377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调节池</w:t>
                  </w:r>
                </w:p>
              </w:txbxContent>
            </v:textbox>
          </v:shape>
        </w:pict>
      </w:r>
      <w:r>
        <w:rPr>
          <w:rFonts w:ascii="Arial" w:hAnsi="Arial" w:eastAsia="宋体" w:cs="黑体"/>
          <w:b/>
          <w:bCs/>
          <w:kern w:val="2"/>
          <w:sz w:val="24"/>
          <w:szCs w:val="32"/>
          <w:lang w:val="en-US" w:eastAsia="zh-CN" w:bidi="ar-SA"/>
        </w:rPr>
        <w:pict>
          <v:shape id="Straight Connector 2046" o:spid="_x0000_s2601" o:spt="32" type="#_x0000_t32" style="position:absolute;left:0pt;flip:y;margin-left:269.9pt;margin-top:17.65pt;height:251.25pt;width:0.05pt;z-index:251699200;mso-width-relative:page;mso-height-relative:page;" fillcolor="#FFFFFF" filled="t" o:preferrelative="t" stroked="t" coordsize="21600,21600">
            <v:path arrowok="t"/>
            <v:fill on="t" focussize="0,0"/>
            <v:stroke color="#000000" color2="#FFFFFF" miterlimit="2" dashstyle="dash" startarrowwidth="narrow" endarrowwidth="narrow"/>
            <v:imagedata gain="65536f" blacklevel="0f" gamma="0" o:title=""/>
            <o:lock v:ext="edit" position="f" selection="f" grouping="f" rotation="f" cropping="f" text="f" aspectratio="f"/>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7208" o:spid="_x0000_s2602" o:spt="20" style="position:absolute;left:0pt;margin-left:189.05pt;margin-top:5.3pt;height:31.2pt;width:0.05pt;z-index:25173196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shape id="Quad Arrow 7205" o:spid="_x0000_s2603" o:spt="202" type="#_x0000_t202" style="position:absolute;left:0pt;margin-left:82.35pt;margin-top:19.5pt;height:24pt;width:72pt;z-index:25172889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mm" style="mso-fit-shape-to-text:t;">
              <w:txbxContent>
                <w:p>
                  <w:pPr>
                    <w:spacing w:line="240" w:lineRule="exact"/>
                    <w:jc w:val="center"/>
                    <w:rPr>
                      <w:sz w:val="18"/>
                      <w:szCs w:val="18"/>
                    </w:rPr>
                  </w:pPr>
                  <w:r>
                    <w:rPr>
                      <w:rFonts w:hint="eastAsia"/>
                      <w:sz w:val="18"/>
                      <w:szCs w:val="18"/>
                    </w:rPr>
                    <w:t>PAC、NaOH、Na</w:t>
                  </w:r>
                  <w:r>
                    <w:rPr>
                      <w:rFonts w:hint="eastAsia"/>
                      <w:sz w:val="18"/>
                      <w:szCs w:val="18"/>
                      <w:vertAlign w:val="subscript"/>
                    </w:rPr>
                    <w:t>2</w:t>
                  </w:r>
                  <w:r>
                    <w:rPr>
                      <w:rFonts w:hint="eastAsia"/>
                      <w:sz w:val="18"/>
                      <w:szCs w:val="18"/>
                    </w:rPr>
                    <w:t>CO</w:t>
                  </w:r>
                  <w:r>
                    <w:rPr>
                      <w:rFonts w:hint="eastAsia"/>
                      <w:sz w:val="18"/>
                      <w:szCs w:val="18"/>
                      <w:vertAlign w:val="subscript"/>
                    </w:rPr>
                    <w:t>3</w:t>
                  </w:r>
                </w:p>
              </w:txbxContent>
            </v:textbox>
          </v:shape>
        </w:pict>
      </w:r>
      <w:r>
        <w:rPr>
          <w:rFonts w:ascii="Arial" w:hAnsi="Arial" w:eastAsia="宋体" w:cs="黑体"/>
          <w:b/>
          <w:bCs/>
          <w:kern w:val="2"/>
          <w:sz w:val="24"/>
          <w:szCs w:val="32"/>
          <w:lang w:val="en-US" w:eastAsia="zh-CN" w:bidi="ar-SA"/>
        </w:rPr>
        <w:pict>
          <v:shape id="Quad Arrow 7202" o:spid="_x0000_s2604" o:spt="202" type="#_x0000_t202" style="position:absolute;left:0pt;margin-left:190.85pt;margin-top:11.3pt;height:13.2pt;width:24.25pt;z-index:251726848;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217" o:spid="_x0000_s2605" o:spt="202" type="#_x0000_t202" style="position:absolute;left:0pt;margin-left:327.5pt;margin-top:16.6pt;height:15.6pt;width:72pt;z-index:251738112;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生化脱水装置</w:t>
                  </w:r>
                </w:p>
              </w:txbxContent>
            </v:textbox>
          </v:shape>
        </w:pict>
      </w:r>
      <w:r>
        <w:rPr>
          <w:rFonts w:ascii="Arial" w:hAnsi="Arial" w:eastAsia="宋体" w:cs="黑体"/>
          <w:b/>
          <w:bCs/>
          <w:kern w:val="2"/>
          <w:sz w:val="24"/>
          <w:szCs w:val="32"/>
          <w:lang w:val="en-US" w:eastAsia="zh-CN" w:bidi="ar-SA"/>
        </w:rPr>
        <w:pict>
          <v:shape id="Quad Arrow 7201" o:spid="_x0000_s2606" o:spt="202" type="#_x0000_t202" style="position:absolute;left:0pt;margin-left:150.25pt;margin-top:16.45pt;height:18.15pt;width:78.5pt;z-index:25172480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机械加速澄清池</w:t>
                  </w:r>
                </w:p>
              </w:txbxContent>
            </v:textbox>
          </v:shape>
        </w:pict>
      </w:r>
      <w:r>
        <w:rPr>
          <w:rFonts w:ascii="Arial" w:hAnsi="Arial" w:eastAsia="宋体" w:cs="黑体"/>
          <w:b/>
          <w:bCs/>
          <w:kern w:val="2"/>
          <w:sz w:val="24"/>
          <w:szCs w:val="32"/>
          <w:lang w:val="en-US" w:eastAsia="zh-CN" w:bidi="ar-SA"/>
        </w:rPr>
        <w:pict>
          <v:shape id="Quad Arrow 7171" o:spid="_x0000_s2607" o:spt="202" type="#_x0000_t202" style="position:absolute;left:0pt;margin-left:282.95pt;margin-top:10.7pt;height:15.6pt;width:38.1pt;z-index:251704320;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 w:val="18"/>
                      <w:szCs w:val="18"/>
                    </w:rPr>
                  </w:pP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7209" o:spid="_x0000_s2608" o:spt="20" style="position:absolute;left:0pt;margin-left:189.05pt;margin-top:14.2pt;height:31.2pt;width:0.05pt;z-index:25173299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line id="Line 7206" o:spid="_x0000_s2609" o:spt="20" style="position:absolute;left:0pt;margin-left:102.15pt;margin-top:3.8pt;height:0.05pt;width:47.25pt;z-index:25172992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shape id="Straight Connector 2045" o:spid="_x0000_s2610" o:spt="32" type="#_x0000_t32" style="position:absolute;left:0pt;margin-left:228.45pt;margin-top:3.7pt;height:0.05pt;width:100.45pt;z-index:251698176;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p>
    <w:p>
      <w:pPr>
        <w:pStyle w:val="5"/>
        <w:rPr>
          <w:rFonts w:ascii="Times New Roman" w:hAnsi="Times New Roman" w:cs="Times New Roman"/>
          <w:sz w:val="24"/>
          <w:szCs w:val="24"/>
        </w:rPr>
      </w:pP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Straight Connector 7210" o:spid="_x0000_s2611" o:spt="32" type="#_x0000_t32" style="position:absolute;left:0pt;margin-left:214.25pt;margin-top:13.5pt;height:0.05pt;width:55.65pt;z-index:251734016;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kern w:val="2"/>
          <w:sz w:val="24"/>
          <w:szCs w:val="32"/>
          <w:lang w:val="en-US" w:eastAsia="zh-CN" w:bidi="ar-SA"/>
        </w:rPr>
        <w:pict>
          <v:shape id="Quad Arrow 7204" o:spid="_x0000_s2612" o:spt="202" type="#_x0000_t202" style="position:absolute;left:0pt;margin-left:165.25pt;margin-top:4.1pt;height:18.15pt;width:48.25pt;z-index:25172787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无阀滤池</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2044" o:spid="_x0000_s2613" o:spt="20" style="position:absolute;left:0pt;margin-left:189.05pt;margin-top:1.8pt;height:31.2pt;width:0.05pt;z-index:25169715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76" o:spid="_x0000_s2614" o:spt="202" type="#_x0000_t202" style="position:absolute;left:0pt;margin-left:72.05pt;margin-top:9.7pt;height:224.6pt;width:213.45pt;z-index:251706368;mso-width-relative:page;mso-height-relative:page;" fillcolor="#FFFFFF" filled="t" o:preferrelative="t" stroked="t" coordsize="21600,21600">
            <v:path/>
            <v:fill on="t" opacity="0f" focussize="0,0"/>
            <v:stroke color="#FF0000" color2="#FFFFFF" miterlimit="2" dashstyle="dash"/>
            <v:imagedata gain="65536f" blacklevel="0f" gamma="0" o:title=""/>
            <o:lock v:ext="edit" position="f" selection="f" grouping="f" rotation="f" cropping="f" text="f" aspectratio="f"/>
            <v:textbox inset="1.42pt,0.85pt,1.42pt,0.85pt">
              <w:txbxContent>
                <w:p/>
              </w:txbxContent>
            </v:textbox>
          </v:shape>
        </w:pict>
      </w:r>
      <w:r>
        <w:rPr>
          <w:rFonts w:ascii="Arial" w:hAnsi="Arial" w:eastAsia="宋体" w:cs="黑体"/>
          <w:b/>
          <w:bCs/>
          <w:kern w:val="2"/>
          <w:sz w:val="24"/>
          <w:szCs w:val="32"/>
          <w:lang w:val="en-US" w:eastAsia="zh-CN" w:bidi="ar-SA"/>
        </w:rPr>
        <w:pict>
          <v:shape id="Quad Arrow 7178" o:spid="_x0000_s2615" o:spt="202" type="#_x0000_t202" style="position:absolute;left:0pt;margin-left:159.15pt;margin-top:13pt;height:18.15pt;width:58.4pt;z-index:25170841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中间水池</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7186" o:spid="_x0000_s2616" o:spt="20" style="position:absolute;left:0pt;margin-left:189.05pt;margin-top:10.65pt;height:31.2pt;width:0.05pt;z-index:25171660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shape id="Quad Arrow 7180" o:spid="_x0000_s2617" o:spt="202" type="#_x0000_t202" style="position:absolute;left:0pt;margin-left:190pt;margin-top:19.5pt;height:13.2pt;width:24.25pt;z-index:251710464;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83" o:spid="_x0000_s2618" o:spt="202" type="#_x0000_t202" style="position:absolute;left:0pt;margin-left:115.55pt;margin-top:17.05pt;height:14.85pt;width:32.5pt;z-index:251713536;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NaOH</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Straight Connector 7193" o:spid="_x0000_s2619" o:spt="32" type="#_x0000_t32" style="position:absolute;left:0pt;margin-left:227.15pt;margin-top:9.85pt;height:0.05pt;width:41.7pt;z-index:251721728;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kern w:val="2"/>
          <w:sz w:val="24"/>
          <w:szCs w:val="32"/>
          <w:lang w:val="en-US" w:eastAsia="zh-CN" w:bidi="ar-SA"/>
        </w:rPr>
        <w:pict>
          <v:line id="Line 7185" o:spid="_x0000_s2620" o:spt="20" style="position:absolute;left:0pt;margin-left:189.3pt;margin-top:19.9pt;height:31.2pt;width:0.05pt;z-index:25171558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line id="Line 7184" o:spid="_x0000_s2621" o:spt="20" style="position:absolute;left:0pt;margin-left:114.15pt;margin-top:10.55pt;height:0.05pt;width:39pt;z-index:25171456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shape id="Quad Arrow 7179" o:spid="_x0000_s2622" o:spt="202" type="#_x0000_t202" style="position:absolute;left:0pt;margin-left:152.6pt;margin-top:1.3pt;height:18.15pt;width:71.95pt;z-index:251709440;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自清洗过滤器</w:t>
                  </w:r>
                </w:p>
              </w:txbxContent>
            </v:textbox>
          </v:shape>
        </w:pict>
      </w:r>
    </w:p>
    <w:p>
      <w:pPr>
        <w:pStyle w:val="5"/>
        <w:rPr>
          <w:rFonts w:ascii="Times New Roman" w:hAnsi="Times New Roman" w:cs="Times New Roman"/>
          <w:sz w:val="24"/>
          <w:szCs w:val="24"/>
        </w:rPr>
      </w:pP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Straight Connector 7194" o:spid="_x0000_s2623" o:spt="32" type="#_x0000_t32" style="position:absolute;left:0pt;margin-left:212.95pt;margin-top:20.55pt;height:0.05pt;width:56.95pt;z-index:251722752;mso-width-relative:page;mso-height-relative:page;" fillcolor="#FFFFFF" filled="t" o:preferrelative="t" stroked="t" coordsize="21600,21600">
            <v:path arrowok="t"/>
            <v:fill on="t" focussize="0,0"/>
            <v:stroke color="#000000" color2="#FFFFFF" miterlimit="2" dashstyle="dash" startarrowwidth="narrow" endarrow="block" endarrowwidth="narrow"/>
            <v:imagedata gain="65536f" blacklevel="0f" gamma="0" o:title=""/>
            <o:lock v:ext="edit" position="f" selection="f" grouping="f" rotation="f" cropping="f" text="f" aspectratio="f"/>
          </v:shape>
        </w:pict>
      </w:r>
      <w:r>
        <w:rPr>
          <w:rFonts w:ascii="Arial" w:hAnsi="Arial" w:eastAsia="宋体" w:cs="黑体"/>
          <w:b/>
          <w:bCs/>
          <w:kern w:val="2"/>
          <w:sz w:val="24"/>
          <w:szCs w:val="32"/>
          <w:lang w:val="en-US" w:eastAsia="zh-CN" w:bidi="ar-SA"/>
        </w:rPr>
        <w:pict>
          <v:shape id="Quad Arrow 7182" o:spid="_x0000_s2624" o:spt="202" type="#_x0000_t202" style="position:absolute;left:0pt;margin-left:164.75pt;margin-top:9.45pt;height:18.15pt;width:48.2pt;z-index:251712512;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UF</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7187" o:spid="_x0000_s2625" o:spt="20" style="position:absolute;left:0pt;margin-left:189.05pt;margin-top:7.15pt;height:31.2pt;width:0.05pt;z-index:25171763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90" o:spid="_x0000_s2626" o:spt="202" type="#_x0000_t202" style="position:absolute;left:0pt;margin-left:162.3pt;margin-top:19.05pt;height:18.15pt;width:54.4pt;z-index:251718656;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UF出水池</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7191" o:spid="_x0000_s2627" o:spt="20" style="position:absolute;left:0pt;margin-left:189.2pt;margin-top:16.75pt;height:28.85pt;width:0.05pt;z-index:251719680;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81" o:spid="_x0000_s2628" o:spt="202" type="#_x0000_t202" style="position:absolute;left:0pt;margin-left:190.45pt;margin-top:4.1pt;height:13.2pt;width:24.25pt;z-index:251711488;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r>
        <w:rPr>
          <w:rFonts w:ascii="Arial" w:hAnsi="Arial" w:eastAsia="宋体" w:cs="黑体"/>
          <w:b/>
          <w:bCs/>
          <w:kern w:val="2"/>
          <w:sz w:val="24"/>
          <w:szCs w:val="32"/>
          <w:lang w:val="en-US" w:eastAsia="zh-CN" w:bidi="ar-SA"/>
        </w:rPr>
        <w:pict>
          <v:shape id="Quad Arrow 7173" o:spid="_x0000_s2629" o:spt="202" type="#_x0000_t202" style="position:absolute;left:0pt;margin-left:218.2pt;margin-top:20.1pt;height:15.6pt;width:67.55pt;z-index:251705344;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RO浓水</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218" o:spid="_x0000_s2630" o:spt="202" type="#_x0000_t202" style="position:absolute;left:0pt;margin-left:323.25pt;margin-top:5.35pt;height:15.6pt;width:45pt;z-index:251739136;mso-width-relative:page;mso-height-relative:page;" fillcolor="#FFFFFF" filled="f" o:preferrelative="t" stroked="f" coordsize="21600,21600">
            <v:path/>
            <v:fill on="f" color2="#FFFFFF" focussize="0,0"/>
            <v:stroke on="f"/>
            <v:imagedata gain="65536f" blacklevel="0f" gamma="0" o:title=""/>
            <o:lock v:ext="edit" position="f" selection="f" grouping="f" rotation="f" cropping="f" text="f" aspectratio="f"/>
            <v:textbox inset="1.42pt,0mm,1.42pt,0.85pt">
              <w:txbxContent>
                <w:p>
                  <w:pPr>
                    <w:jc w:val="center"/>
                    <w:rPr>
                      <w:szCs w:val="21"/>
                    </w:rPr>
                  </w:pPr>
                  <w:r>
                    <w:rPr>
                      <w:rFonts w:hint="eastAsia"/>
                      <w:szCs w:val="21"/>
                    </w:rPr>
                    <w:t>排放</w:t>
                  </w:r>
                </w:p>
              </w:txbxContent>
            </v:textbox>
          </v:shape>
        </w:pict>
      </w:r>
      <w:r>
        <w:rPr>
          <w:rFonts w:ascii="Arial" w:hAnsi="Arial" w:eastAsia="宋体" w:cs="黑体"/>
          <w:b/>
          <w:bCs/>
          <w:kern w:val="2"/>
          <w:sz w:val="24"/>
          <w:szCs w:val="32"/>
          <w:lang w:val="en-US" w:eastAsia="zh-CN" w:bidi="ar-SA"/>
        </w:rPr>
        <w:pict>
          <v:line id="Line 7216" o:spid="_x0000_s2631" o:spt="20" style="position:absolute;left:0pt;margin-left:218.05pt;margin-top:13.25pt;height:0.05pt;width:110.55pt;z-index:251737088;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r>
        <w:rPr>
          <w:rFonts w:ascii="Arial" w:hAnsi="Arial" w:eastAsia="宋体" w:cs="黑体"/>
          <w:b/>
          <w:bCs/>
          <w:kern w:val="2"/>
          <w:sz w:val="24"/>
          <w:szCs w:val="32"/>
          <w:lang w:val="en-US" w:eastAsia="zh-CN" w:bidi="ar-SA"/>
        </w:rPr>
        <w:pict>
          <v:shape id="Quad Arrow 7192" o:spid="_x0000_s2632" o:spt="202" type="#_x0000_t202" style="position:absolute;left:0pt;margin-left:162.4pt;margin-top:4.2pt;height:18.15pt;width:54.4pt;z-index:251720704;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RO</w:t>
                  </w:r>
                </w:p>
              </w:txbxContent>
            </v:textbox>
          </v:shape>
        </w:pict>
      </w:r>
      <w:r>
        <w:rPr>
          <w:rFonts w:ascii="Arial" w:hAnsi="Arial" w:eastAsia="宋体" w:cs="黑体"/>
          <w:b/>
          <w:bCs/>
          <w:kern w:val="2"/>
          <w:sz w:val="24"/>
          <w:szCs w:val="32"/>
          <w:lang w:val="en-US" w:eastAsia="zh-CN" w:bidi="ar-SA"/>
        </w:rPr>
        <w:pict>
          <v:shape id="Quad Arrow 7177" o:spid="_x0000_s2633" o:spt="202" type="#_x0000_t202" style="position:absolute;left:0pt;margin-left:69.85pt;margin-top:10.25pt;height:17.2pt;width:90pt;z-index:251707392;mso-width-relative:page;mso-height-relative:page;" fillcolor="#FFFFFF" filled="t" o:preferrelative="t" stroked="t" coordsize="21600,21600">
            <v:path/>
            <v:fill on="t" opacity="0f" focussize="0,0"/>
            <v:stroke color="#FFFFFF" color2="#FFFFFF" miterlimit="2" dashstyle="dash"/>
            <v:imagedata gain="65536f" blacklevel="0f" gamma="0" o:title=""/>
            <o:lock v:ext="edit" position="f" selection="f" grouping="f" rotation="f" cropping="f" text="f" aspectratio="f"/>
            <v:textbox inset="1.42pt,0.85pt,1.42pt,0.85pt">
              <w:txbxContent>
                <w:p>
                  <w:pPr>
                    <w:rPr>
                      <w:i/>
                      <w:color w:val="FF0000"/>
                    </w:rPr>
                  </w:pPr>
                  <w:r>
                    <w:rPr>
                      <w:rFonts w:hint="eastAsia"/>
                      <w:i/>
                      <w:color w:val="FF0000"/>
                    </w:rPr>
                    <w:t>深度回用处理阶段</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line id="Line 2047" o:spid="_x0000_s2634" o:spt="20" style="position:absolute;left:0pt;margin-left:189.2pt;margin-top:1.9pt;height:31.2pt;width:0.05pt;z-index:251700224;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68" o:spid="_x0000_s2635" o:spt="202" type="#_x0000_t202" style="position:absolute;left:0pt;margin-left:143.9pt;margin-top:12.4pt;height:18.15pt;width:89.8pt;z-index:251701248;mso-width-relative:page;mso-height-relative:page;" fillcolor="#FFFFFF" filled="t" o:preferrelative="t" stroked="t" coordsize="21600,21600">
            <v:path/>
            <v:fill on="t" focussize="0,0"/>
            <v:stroke color="#000000" color2="#FFFFFF" miterlimit="2"/>
            <v:imagedata gain="65536f" blacklevel="0f" gamma="0" o:title=""/>
            <o:lock v:ext="edit" position="f" selection="f" grouping="f" rotation="f" cropping="f" text="f" aspectratio="f"/>
            <v:textbox inset="1.42pt,0.85pt,1.42pt,0.85pt">
              <w:txbxContent>
                <w:p>
                  <w:pPr>
                    <w:jc w:val="center"/>
                  </w:pPr>
                  <w:r>
                    <w:rPr>
                      <w:rFonts w:hint="eastAsia"/>
                    </w:rPr>
                    <w:t>产品水池</w:t>
                  </w:r>
                </w:p>
              </w:txbxContent>
            </v:textbox>
          </v:shape>
        </w:pict>
      </w:r>
    </w:p>
    <w:p>
      <w:pPr>
        <w:pStyle w:val="5"/>
        <w:rPr>
          <w:rFonts w:ascii="Times New Roman" w:hAnsi="Times New Roman" w:cs="Times New Roman"/>
          <w:sz w:val="24"/>
          <w:szCs w:val="24"/>
        </w:rPr>
      </w:pPr>
      <w:r>
        <w:rPr>
          <w:rFonts w:ascii="Arial" w:hAnsi="Arial" w:eastAsia="宋体" w:cs="黑体"/>
          <w:b/>
          <w:bCs/>
          <w:kern w:val="2"/>
          <w:sz w:val="24"/>
          <w:szCs w:val="32"/>
          <w:lang w:val="en-US" w:eastAsia="zh-CN" w:bidi="ar-SA"/>
        </w:rPr>
        <w:pict>
          <v:shape id="Quad Arrow 7170" o:spid="_x0000_s2636" o:spt="202" type="#_x0000_t202" style="position:absolute;left:0pt;margin-left:190.45pt;margin-top:19.55pt;height:13.2pt;width:24.25pt;z-index:251703296;mso-width-relative:page;mso-height-relative:page;" fillcolor="#FFFFFF" filled="t" o:preferrelative="t" stroked="f" coordsize="21600,21600">
            <v:path/>
            <v:fill on="t" focussize="0,0"/>
            <v:stroke on="f"/>
            <v:imagedata gain="65536f" blacklevel="0f" gamma="0" o:title=""/>
            <o:lock v:ext="edit" position="f" selection="f" grouping="f" rotation="f" cropping="f" text="f" aspectratio="f"/>
            <v:textbox inset="1.42pt,0mm,1.42pt,0.85pt">
              <w:txbxContent>
                <w:p>
                  <w:pPr>
                    <w:jc w:val="center"/>
                    <w:rPr>
                      <w:sz w:val="18"/>
                      <w:szCs w:val="18"/>
                    </w:rPr>
                  </w:pPr>
                  <w:r>
                    <w:rPr>
                      <w:rFonts w:hint="eastAsia"/>
                      <w:sz w:val="18"/>
                      <w:szCs w:val="18"/>
                    </w:rPr>
                    <w:t>泵送</w:t>
                  </w:r>
                </w:p>
              </w:txbxContent>
            </v:textbox>
          </v:shape>
        </w:pict>
      </w:r>
      <w:r>
        <w:rPr>
          <w:rFonts w:ascii="Arial" w:hAnsi="Arial" w:eastAsia="宋体" w:cs="黑体"/>
          <w:b/>
          <w:bCs/>
          <w:kern w:val="2"/>
          <w:sz w:val="24"/>
          <w:szCs w:val="32"/>
          <w:lang w:val="en-US" w:eastAsia="zh-CN" w:bidi="ar-SA"/>
        </w:rPr>
        <w:pict>
          <v:line id="Line 7169" o:spid="_x0000_s2637" o:spt="20" style="position:absolute;left:0pt;margin-left:188.75pt;margin-top:9.85pt;height:31.2pt;width:0.05pt;z-index:251702272;mso-width-relative:page;mso-height-relative:page;" fillcolor="#FFFFFF" filled="f" o:preferrelative="t" stroked="t" coordsize="21600,21600">
            <v:path arrowok="t"/>
            <v:fill on="f" color2="#FFFFFF" focussize="0,0"/>
            <v:stroke color="#000000" color2="#FFFFFF" miterlimit="2" endarrow="block" endarrowwidth="narrow"/>
            <v:imagedata gain="65536f" blacklevel="0f" gamma="0" o:title=""/>
            <o:lock v:ext="edit" position="f" selection="f" grouping="f" rotation="f" cropping="f" text="f" aspectratio="f"/>
          </v:line>
        </w:pict>
      </w:r>
    </w:p>
    <w:p>
      <w:pPr>
        <w:pStyle w:val="5"/>
        <w:rPr>
          <w:rFonts w:ascii="Times New Roman" w:hAnsi="Times New Roman" w:cs="Times New Roman"/>
          <w:sz w:val="24"/>
          <w:szCs w:val="24"/>
        </w:rPr>
      </w:pPr>
    </w:p>
    <w:p>
      <w:pPr>
        <w:pStyle w:val="5"/>
        <w:rPr>
          <w:rFonts w:ascii="Times New Roman" w:hAnsi="Times New Roman" w:cs="Times New Roman"/>
          <w:sz w:val="24"/>
          <w:szCs w:val="24"/>
        </w:rPr>
      </w:pPr>
    </w:p>
    <w:p>
      <w:pPr>
        <w:pStyle w:val="5"/>
        <w:rPr>
          <w:rFonts w:ascii="Times New Roman" w:hAnsi="Times New Roman" w:cs="Times New Roman"/>
          <w:sz w:val="24"/>
          <w:szCs w:val="24"/>
        </w:rPr>
      </w:pPr>
      <w:r>
        <w:rPr>
          <w:rFonts w:ascii="Times New Roman" w:hAnsi="Times New Roman" w:cs="Times New Roman"/>
          <w:sz w:val="24"/>
          <w:szCs w:val="24"/>
        </w:rPr>
        <w:t>3.</w:t>
      </w:r>
      <w:r>
        <w:rPr>
          <w:rFonts w:hint="eastAsia" w:ascii="Times New Roman" w:hAnsi="Times New Roman" w:cs="Times New Roman"/>
          <w:sz w:val="24"/>
          <w:szCs w:val="24"/>
          <w:lang w:val="en-US" w:eastAsia="zh-CN"/>
        </w:rPr>
        <w:t>7</w:t>
      </w:r>
      <w:r>
        <w:rPr>
          <w:rFonts w:ascii="Times New Roman" w:hAnsi="Times New Roman" w:cs="Times New Roman"/>
          <w:sz w:val="24"/>
          <w:szCs w:val="24"/>
        </w:rPr>
        <w:t>项目变动情况</w:t>
      </w:r>
      <w:bookmarkEnd w:id="50"/>
    </w:p>
    <w:p>
      <w:pPr>
        <w:snapToGrid w:val="0"/>
        <w:spacing w:line="360" w:lineRule="auto"/>
        <w:ind w:firstLine="480" w:firstLineChars="200"/>
        <w:rPr>
          <w:rFonts w:hint="eastAsia" w:ascii="Times New Roman" w:hAnsi="Times New Roman" w:eastAsia="宋体" w:cs="Times New Roman"/>
          <w:snapToGrid w:val="0"/>
          <w:kern w:val="0"/>
          <w:sz w:val="24"/>
        </w:rPr>
      </w:pPr>
      <w:r>
        <w:rPr>
          <w:rFonts w:ascii="Times New Roman" w:hAnsi="Times New Roman" w:cs="Times New Roman"/>
          <w:bCs/>
          <w:sz w:val="24"/>
        </w:rPr>
        <w:t>根据场地建设现状，本项目的建设地点</w:t>
      </w:r>
      <w:r>
        <w:rPr>
          <w:rFonts w:hint="eastAsia" w:ascii="Times New Roman" w:hAnsi="Times New Roman" w:cs="Times New Roman"/>
          <w:bCs/>
          <w:sz w:val="24"/>
        </w:rPr>
        <w:t>、规模及</w:t>
      </w:r>
      <w:r>
        <w:rPr>
          <w:rFonts w:hint="eastAsia" w:ascii="Times New Roman" w:hAnsi="Times New Roman" w:cs="Times New Roman"/>
          <w:bCs/>
          <w:sz w:val="24"/>
          <w:lang w:eastAsia="zh-CN"/>
        </w:rPr>
        <w:t>废水</w:t>
      </w:r>
      <w:r>
        <w:rPr>
          <w:rFonts w:hint="eastAsia" w:ascii="Times New Roman" w:hAnsi="Times New Roman" w:cs="Times New Roman"/>
          <w:bCs/>
          <w:sz w:val="24"/>
        </w:rPr>
        <w:t>污染治理设施均</w:t>
      </w:r>
      <w:r>
        <w:rPr>
          <w:rFonts w:ascii="Times New Roman" w:hAnsi="Times New Roman" w:cs="Times New Roman"/>
          <w:bCs/>
          <w:sz w:val="24"/>
        </w:rPr>
        <w:t>未发生变化</w:t>
      </w:r>
      <w:r>
        <w:rPr>
          <w:rFonts w:ascii="Times New Roman" w:hAnsi="Times New Roman" w:eastAsia="宋体" w:cs="Times New Roman"/>
          <w:snapToGrid w:val="0"/>
          <w:kern w:val="0"/>
          <w:sz w:val="24"/>
        </w:rPr>
        <w:t>。</w:t>
      </w:r>
    </w:p>
    <w:p>
      <w:pPr>
        <w:snapToGrid w:val="0"/>
        <w:spacing w:line="360" w:lineRule="auto"/>
        <w:ind w:firstLine="480" w:firstLineChars="200"/>
        <w:rPr>
          <w:rFonts w:hint="eastAsia" w:ascii="Times New Roman" w:hAnsi="Times New Roman" w:cs="Times New Roman"/>
          <w:bCs/>
          <w:sz w:val="24"/>
        </w:rPr>
      </w:pPr>
      <w:r>
        <w:rPr>
          <w:rFonts w:hint="eastAsia"/>
          <w:sz w:val="24"/>
          <w:lang w:eastAsia="zh-CN"/>
        </w:rPr>
        <w:t>废气部分</w:t>
      </w:r>
      <w:r>
        <w:rPr>
          <w:rFonts w:hint="eastAsia"/>
          <w:color w:val="auto"/>
          <w:sz w:val="24"/>
          <w:lang w:eastAsia="zh-CN"/>
        </w:rPr>
        <w:t>未设置生物除臭装置</w:t>
      </w:r>
      <w:r>
        <w:rPr>
          <w:rFonts w:hint="eastAsia"/>
          <w:sz w:val="24"/>
          <w:lang w:eastAsia="zh-CN"/>
        </w:rPr>
        <w:t>，其余均按符合环评及其批复要求</w:t>
      </w:r>
      <w:r>
        <w:rPr>
          <w:sz w:val="24"/>
        </w:rPr>
        <w:t>。</w:t>
      </w:r>
    </w:p>
    <w:p>
      <w:pPr>
        <w:snapToGrid w:val="0"/>
        <w:spacing w:line="360" w:lineRule="auto"/>
        <w:ind w:firstLine="480" w:firstLineChars="200"/>
        <w:rPr>
          <w:rFonts w:ascii="Times New Roman" w:hAnsi="Times New Roman" w:cs="Times New Roman"/>
        </w:rPr>
        <w:sectPr>
          <w:head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cs="Times New Roman"/>
          <w:bCs/>
          <w:sz w:val="24"/>
        </w:rPr>
        <w:t>项目</w:t>
      </w:r>
      <w:r>
        <w:rPr>
          <w:rFonts w:ascii="Times New Roman" w:hAnsi="Times New Roman" w:cs="Times New Roman"/>
          <w:bCs/>
          <w:sz w:val="24"/>
        </w:rPr>
        <w:t>环保措施可</w:t>
      </w:r>
      <w:r>
        <w:rPr>
          <w:rFonts w:hint="eastAsia" w:ascii="Times New Roman" w:hAnsi="Times New Roman" w:cs="Times New Roman"/>
          <w:bCs/>
          <w:sz w:val="24"/>
        </w:rPr>
        <w:t>以</w:t>
      </w:r>
      <w:r>
        <w:rPr>
          <w:rFonts w:ascii="Times New Roman" w:hAnsi="Times New Roman" w:cs="Times New Roman"/>
          <w:bCs/>
          <w:sz w:val="24"/>
        </w:rPr>
        <w:t>满足环评的要求</w:t>
      </w:r>
      <w:r>
        <w:rPr>
          <w:rFonts w:hint="eastAsia" w:ascii="Times New Roman" w:hAnsi="Times New Roman" w:cs="Times New Roman"/>
          <w:bCs/>
          <w:sz w:val="24"/>
        </w:rPr>
        <w:t>，</w:t>
      </w:r>
      <w:r>
        <w:rPr>
          <w:rFonts w:ascii="Times New Roman" w:hAnsi="Times New Roman" w:cs="Times New Roman"/>
          <w:bCs/>
          <w:sz w:val="24"/>
        </w:rPr>
        <w:t>不会对环境造成明显不利的影响，项目不属于重大变更</w:t>
      </w:r>
      <w:r>
        <w:rPr>
          <w:rFonts w:hint="eastAsia" w:ascii="Times New Roman" w:hAnsi="Times New Roman" w:cs="Times New Roman"/>
          <w:bCs/>
          <w:sz w:val="24"/>
        </w:rPr>
        <w:t>，</w:t>
      </w:r>
      <w:r>
        <w:rPr>
          <w:rFonts w:ascii="Times New Roman" w:hAnsi="Times New Roman" w:cs="Times New Roman"/>
          <w:bCs/>
          <w:sz w:val="24"/>
        </w:rPr>
        <w:t>从环保角度可行</w:t>
      </w:r>
      <w:r>
        <w:rPr>
          <w:rFonts w:hint="eastAsia" w:ascii="Times New Roman" w:hAnsi="Times New Roman" w:cs="Times New Roman"/>
          <w:bCs/>
          <w:sz w:val="24"/>
        </w:rPr>
        <w:t>。</w:t>
      </w:r>
      <w:bookmarkStart w:id="51" w:name="_Toc161134478"/>
      <w:bookmarkStart w:id="52" w:name="_Toc210190242"/>
      <w:bookmarkStart w:id="53" w:name="_Toc157703435"/>
      <w:bookmarkStart w:id="54" w:name="_Toc206728830"/>
    </w:p>
    <w:p>
      <w:pPr>
        <w:pStyle w:val="4"/>
        <w:jc w:val="both"/>
        <w:rPr>
          <w:rFonts w:cs="Times New Roman"/>
          <w:sz w:val="24"/>
          <w:szCs w:val="24"/>
        </w:rPr>
      </w:pPr>
      <w:bookmarkStart w:id="55" w:name="_Toc31509"/>
      <w:r>
        <w:rPr>
          <w:rFonts w:cs="Times New Roman"/>
          <w:sz w:val="28"/>
          <w:szCs w:val="28"/>
        </w:rPr>
        <w:t>4 环境保护设施</w:t>
      </w:r>
      <w:bookmarkEnd w:id="55"/>
    </w:p>
    <w:bookmarkEnd w:id="51"/>
    <w:bookmarkEnd w:id="52"/>
    <w:bookmarkEnd w:id="53"/>
    <w:bookmarkEnd w:id="54"/>
    <w:p>
      <w:pPr>
        <w:pStyle w:val="5"/>
        <w:rPr>
          <w:rFonts w:hint="eastAsia" w:ascii="Times New Roman" w:hAnsi="Times New Roman" w:eastAsia="宋体" w:cs="Times New Roman"/>
          <w:sz w:val="24"/>
          <w:szCs w:val="24"/>
          <w:lang w:eastAsia="zh-CN"/>
        </w:rPr>
      </w:pPr>
      <w:bookmarkStart w:id="56" w:name="_Toc30486"/>
      <w:r>
        <w:rPr>
          <w:rFonts w:ascii="Times New Roman" w:hAnsi="Times New Roman" w:cs="Times New Roman"/>
          <w:sz w:val="24"/>
          <w:szCs w:val="24"/>
        </w:rPr>
        <w:t xml:space="preserve">4.1 </w:t>
      </w:r>
      <w:bookmarkEnd w:id="56"/>
      <w:r>
        <w:rPr>
          <w:rFonts w:hint="eastAsia" w:ascii="Times New Roman" w:hAnsi="Times New Roman" w:cs="Times New Roman"/>
          <w:sz w:val="24"/>
          <w:szCs w:val="24"/>
          <w:lang w:eastAsia="zh-CN"/>
        </w:rPr>
        <w:t>废气</w:t>
      </w:r>
    </w:p>
    <w:p>
      <w:pPr>
        <w:spacing w:line="360" w:lineRule="auto"/>
        <w:ind w:firstLine="480" w:firstLineChars="200"/>
        <w:rPr>
          <w:sz w:val="24"/>
        </w:rPr>
      </w:pPr>
      <w:r>
        <w:rPr>
          <w:sz w:val="24"/>
        </w:rPr>
        <w:t>污水处理过程的臭气产生源主要分为污水处理系统和污泥处理系统。本项目产生的恶臭源主要分布在气化废水预处理区（混凝反应池）、以及生物反应中的SBR反应池和污泥处理部分（浓缩池、储泥池和脱水间等）。恶臭的主要成分是硫化氢、氨气。</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w:t>
      </w:r>
      <w:r>
        <w:rPr>
          <w:rFonts w:hint="eastAsia" w:ascii="Times New Roman" w:hAnsi="Times New Roman" w:cs="Times New Roman"/>
          <w:sz w:val="24"/>
          <w:szCs w:val="24"/>
          <w:lang w:eastAsia="zh-CN"/>
        </w:rPr>
        <w:t>环评要求</w:t>
      </w:r>
      <w:r>
        <w:rPr>
          <w:rFonts w:ascii="Times New Roman" w:hAnsi="Times New Roman" w:cs="Times New Roman"/>
          <w:sz w:val="24"/>
          <w:szCs w:val="24"/>
        </w:rPr>
        <w:t>采取以下防治措施：</w:t>
      </w:r>
    </w:p>
    <w:p>
      <w:pPr>
        <w:numPr>
          <w:ilvl w:val="0"/>
          <w:numId w:val="3"/>
        </w:numPr>
        <w:spacing w:line="360" w:lineRule="auto"/>
        <w:ind w:firstLine="480" w:firstLineChars="200"/>
        <w:rPr>
          <w:sz w:val="24"/>
        </w:rPr>
      </w:pPr>
      <w:r>
        <w:rPr>
          <w:sz w:val="24"/>
        </w:rPr>
        <w:t>由于本项目北侧距离敏感区较近，因此，针对本项目的气化废水预处理区（混凝反应池）、生物反应中的SBR反应池和污泥处理部分（浓缩池、储泥池和脱水间等）等有恶臭气体排出的构建筑物均进行加盖密封，臭气收集后，环评要求设置生物除臭单元，对恶臭进行进一步处理后采用排气筒排放。</w:t>
      </w:r>
    </w:p>
    <w:p>
      <w:pPr>
        <w:spacing w:line="360" w:lineRule="auto"/>
        <w:ind w:firstLine="420" w:firstLineChars="200"/>
        <w:rPr>
          <w:rFonts w:hint="default" w:ascii="Times New Roman" w:hAnsi="Times New Roman" w:cs="Times New Roman"/>
          <w:sz w:val="24"/>
        </w:rPr>
      </w:pPr>
      <w:r>
        <w:rPr>
          <w:rFonts w:hint="default" w:ascii="Times New Roman" w:hAnsi="Times New Roman" w:cs="Times New Roman"/>
          <w:lang w:val="en-US" w:eastAsia="zh-CN"/>
        </w:rPr>
        <w:t xml:space="preserve"> </w:t>
      </w:r>
      <w:r>
        <w:rPr>
          <w:rFonts w:hint="default" w:ascii="Times New Roman" w:hAnsi="Times New Roman" w:cs="Times New Roman"/>
          <w:sz w:val="24"/>
        </w:rPr>
        <w:t>（</w:t>
      </w:r>
      <w:r>
        <w:rPr>
          <w:rFonts w:hint="default" w:ascii="Times New Roman" w:hAnsi="Times New Roman" w:cs="Times New Roman"/>
          <w:sz w:val="24"/>
          <w:lang w:val="en-US" w:eastAsia="zh-CN"/>
        </w:rPr>
        <w:t>2</w:t>
      </w:r>
      <w:r>
        <w:rPr>
          <w:rFonts w:hint="default" w:ascii="Times New Roman" w:hAnsi="Times New Roman" w:cs="Times New Roman"/>
          <w:sz w:val="24"/>
        </w:rPr>
        <w:t>）密封收集</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污水处理设施和中水回用处理设置全部放置在室内，顶部设置集气罩，根据实际情况，采用玻璃钢集气罩，在保证操作人员健康和安全的前提下尽量减少通风量。经过收集的恶臭气体由通风机输送至恶臭处理单元。</w:t>
      </w:r>
    </w:p>
    <w:p>
      <w:pPr>
        <w:spacing w:line="360" w:lineRule="auto"/>
        <w:ind w:firstLine="480" w:firstLineChars="200"/>
        <w:rPr>
          <w:sz w:val="24"/>
        </w:rPr>
      </w:pPr>
      <w:r>
        <w:rPr>
          <w:rFonts w:hint="default" w:ascii="Times New Roman" w:hAnsi="Times New Roman" w:cs="Times New Roman"/>
          <w:sz w:val="24"/>
        </w:rPr>
        <w:t>（</w:t>
      </w:r>
      <w:r>
        <w:rPr>
          <w:rFonts w:hint="default" w:ascii="Times New Roman" w:hAnsi="Times New Roman" w:cs="Times New Roman"/>
          <w:sz w:val="24"/>
          <w:lang w:val="en-US" w:eastAsia="zh-CN"/>
        </w:rPr>
        <w:t>3</w:t>
      </w:r>
      <w:r>
        <w:rPr>
          <w:rFonts w:hint="default" w:ascii="Times New Roman" w:hAnsi="Times New Roman" w:cs="Times New Roman"/>
          <w:sz w:val="24"/>
        </w:rPr>
        <w:t xml:space="preserve"> 加强管理</w:t>
      </w:r>
    </w:p>
    <w:p>
      <w:pPr>
        <w:pStyle w:val="19"/>
        <w:spacing w:after="0" w:line="360" w:lineRule="auto"/>
        <w:ind w:left="0" w:leftChars="0" w:firstLine="480"/>
        <w:rPr>
          <w:sz w:val="24"/>
          <w:szCs w:val="24"/>
        </w:rPr>
      </w:pPr>
      <w:r>
        <w:rPr>
          <w:sz w:val="24"/>
          <w:szCs w:val="24"/>
        </w:rPr>
        <w:t>污泥脱水后尽快外运出厂，对场内临时堆场要用氯水或漂白粉液冲洗和喷洒。运送污泥的车辆在驶离厂区前要做好消毒处理。在各种池体停产修理时，池底积泥会裸露出来散发恶臭，应采取及时清除积泥的措施来防止恶臭的影响，加强日常环境监测。</w:t>
      </w:r>
    </w:p>
    <w:p>
      <w:pPr>
        <w:pStyle w:val="30"/>
        <w:ind w:firstLine="480"/>
        <w:rPr>
          <w:rFonts w:ascii="Times New Roman" w:hAnsi="Times New Roman" w:cs="Times New Roman"/>
        </w:rPr>
      </w:pPr>
      <w:r>
        <w:rPr>
          <w:rFonts w:ascii="Times New Roman" w:hAnsi="Times New Roman" w:cs="Times New Roman"/>
        </w:rPr>
        <w:t>在实际生产过程中，本项目采取以下措施：</w:t>
      </w:r>
    </w:p>
    <w:p>
      <w:pPr>
        <w:pStyle w:val="30"/>
        <w:numPr>
          <w:ilvl w:val="0"/>
          <w:numId w:val="4"/>
        </w:numPr>
        <w:ind w:left="479" w:leftChars="228" w:firstLine="0" w:firstLineChars="0"/>
        <w:rPr>
          <w:rFonts w:hint="eastAsia"/>
          <w:sz w:val="24"/>
          <w:lang w:eastAsia="zh-CN"/>
        </w:rPr>
      </w:pPr>
      <w:r>
        <w:rPr>
          <w:rFonts w:hint="eastAsia"/>
          <w:sz w:val="24"/>
          <w:lang w:eastAsia="zh-CN"/>
        </w:rPr>
        <w:t>对SBR池、污泥浓缩池等有恶臭气体排出的构建筑物进行了加盖密封；（</w:t>
      </w:r>
      <w:r>
        <w:rPr>
          <w:rFonts w:hint="eastAsia"/>
          <w:sz w:val="24"/>
          <w:lang w:val="en-US" w:eastAsia="zh-CN"/>
        </w:rPr>
        <w:t>2</w:t>
      </w:r>
      <w:r>
        <w:rPr>
          <w:rFonts w:hint="eastAsia"/>
          <w:sz w:val="24"/>
          <w:lang w:eastAsia="zh-CN"/>
        </w:rPr>
        <w:t>）</w:t>
      </w:r>
      <w:r>
        <w:rPr>
          <w:sz w:val="24"/>
        </w:rPr>
        <w:t>各个构筑物产生的恶臭气体</w:t>
      </w:r>
      <w:r>
        <w:rPr>
          <w:rFonts w:hint="eastAsia"/>
          <w:sz w:val="24"/>
          <w:lang w:eastAsia="zh-CN"/>
        </w:rPr>
        <w:t>通过无组织的形式排放。</w:t>
      </w:r>
    </w:p>
    <w:p>
      <w:pPr>
        <w:pStyle w:val="3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sz w:val="24"/>
          <w:lang w:eastAsia="zh-CN"/>
        </w:rPr>
      </w:pPr>
      <w:r>
        <w:rPr>
          <w:rFonts w:hint="eastAsia"/>
          <w:sz w:val="24"/>
          <w:lang w:eastAsia="zh-CN"/>
        </w:rPr>
        <w:t>（</w:t>
      </w:r>
      <w:r>
        <w:rPr>
          <w:rFonts w:hint="eastAsia"/>
          <w:sz w:val="24"/>
          <w:lang w:val="en-US" w:eastAsia="zh-CN"/>
        </w:rPr>
        <w:t>3</w:t>
      </w:r>
      <w:r>
        <w:rPr>
          <w:rFonts w:hint="eastAsia"/>
          <w:sz w:val="24"/>
          <w:lang w:eastAsia="zh-CN"/>
        </w:rPr>
        <w:t>）污泥脱水后</w:t>
      </w:r>
      <w:r>
        <w:rPr>
          <w:rFonts w:hint="eastAsia"/>
          <w:color w:val="auto"/>
          <w:sz w:val="24"/>
          <w:lang w:eastAsia="zh-CN"/>
        </w:rPr>
        <w:t>尽快</w:t>
      </w:r>
      <w:r>
        <w:rPr>
          <w:rFonts w:hint="eastAsia"/>
          <w:sz w:val="24"/>
          <w:lang w:eastAsia="zh-CN"/>
        </w:rPr>
        <w:t>外运出厂，对场内临时堆场要用氯水或漂白粉液冲洗和喷洒。运送污泥的车辆在驶离厂区前均进行消毒处理。</w:t>
      </w:r>
    </w:p>
    <w:p>
      <w:pPr>
        <w:pStyle w:val="30"/>
        <w:ind w:left="0" w:leftChars="0" w:firstLine="0" w:firstLineChars="0"/>
        <w:jc w:val="both"/>
        <w:rPr>
          <w:rFonts w:ascii="Times New Roman" w:hAnsi="Times New Roman" w:eastAsia="黑体" w:cs="Times New Roman"/>
          <w:bCs/>
        </w:rPr>
      </w:pPr>
    </w:p>
    <w:p>
      <w:pPr>
        <w:pStyle w:val="30"/>
        <w:widowControl w:val="0"/>
        <w:wordWrap/>
        <w:adjustRightInd/>
        <w:snapToGrid/>
        <w:ind w:firstLine="0" w:firstLineChars="0"/>
        <w:jc w:val="center"/>
        <w:textAlignment w:val="auto"/>
        <w:outlineLvl w:val="9"/>
        <w:rPr>
          <w:rFonts w:hint="eastAsia" w:ascii="Times New Roman" w:hAnsi="Times New Roman" w:eastAsia="黑体" w:cs="Times New Roman"/>
          <w:bCs/>
          <w:lang w:eastAsia="zh-CN"/>
        </w:rPr>
      </w:pPr>
    </w:p>
    <w:p>
      <w:pPr>
        <w:tabs>
          <w:tab w:val="center" w:pos="4411"/>
        </w:tabs>
        <w:spacing w:line="360" w:lineRule="auto"/>
        <w:jc w:val="center"/>
        <w:rPr>
          <w:rFonts w:ascii="Times New Roman" w:hAnsi="Times New Roman" w:cs="Times New Roman"/>
          <w:b/>
          <w:sz w:val="24"/>
        </w:rPr>
      </w:pPr>
      <w:r>
        <w:rPr>
          <w:rFonts w:ascii="Times New Roman" w:hAnsi="Times New Roman" w:eastAsia="宋体" w:cs="Times New Roman"/>
          <w:kern w:val="2"/>
          <w:sz w:val="24"/>
          <w:szCs w:val="24"/>
          <w:lang w:val="en-US" w:eastAsia="zh-CN" w:bidi="ar-SA"/>
        </w:rPr>
        <w:pict>
          <v:shape id="Rectangular Callout 2140" o:spid="_x0000_s2639" o:spt="61" type="#_x0000_t61" style="position:absolute;left:0pt;margin-left:120.1pt;margin-top:166.35pt;height:25.2pt;width:65.4pt;z-index:251660288;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color w:val="0000FF"/>
                    </w:rPr>
                  </w:pPr>
                  <w:r>
                    <w:rPr>
                      <w:rFonts w:hint="eastAsia"/>
                      <w:color w:val="0000FF"/>
                    </w:rPr>
                    <w:t>减振基础</w:t>
                  </w:r>
                </w:p>
              </w:txbxContent>
            </v:textbox>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Rectangular Callout 2141" o:spid="_x0000_s2640" o:spt="61" type="#_x0000_t61" style="position:absolute;left:0pt;margin-left:150.5pt;margin-top:184.6pt;height:25.2pt;width:65.4pt;z-index:251740160;v-text-anchor:middle;mso-width-relative:page;mso-height-relative:page;" fillcolor="#FFFFFF" filled="f" o:preferrelative="t" stroked="t" coordsize="21600,21600" adj="-8505,-6814">
            <v:path/>
            <v:fill on="f" color2="#FFFFFF" focussize="0,0"/>
            <v:stroke weight="1pt" color="#2F528F" color2="#FFFFFF" miterlimit="2"/>
            <v:imagedata gain="65536f" blacklevel="0f" gamma="0" o:title=""/>
            <o:lock v:ext="edit" position="f" selection="f" grouping="f" rotation="f" cropping="f" text="f" aspectratio="f"/>
            <v:textbox>
              <w:txbxContent>
                <w:p>
                  <w:pPr>
                    <w:jc w:val="center"/>
                    <w:rPr>
                      <w:color w:val="0000FF"/>
                    </w:rPr>
                  </w:pPr>
                  <w:r>
                    <w:rPr>
                      <w:rFonts w:hint="eastAsia"/>
                      <w:color w:val="0000FF"/>
                    </w:rPr>
                    <w:t>减振基础</w:t>
                  </w:r>
                </w:p>
              </w:txbxContent>
            </v:textbox>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Rectangular Callout 2139" o:spid="_x0000_s2645" o:spt="61" type="#_x0000_t61" style="position:absolute;left:0pt;margin-left:193.6pt;margin-top:187.1pt;height:37.9pt;width:65.4pt;z-index:251829248;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color w:val="0000FF"/>
                      <w:lang w:eastAsia="zh-CN"/>
                    </w:rPr>
                  </w:pPr>
                  <w:r>
                    <w:rPr>
                      <w:rFonts w:hint="eastAsia"/>
                      <w:color w:val="0000FF"/>
                      <w:lang w:eastAsia="zh-CN"/>
                    </w:rPr>
                    <w:t>封闭的</w:t>
                  </w:r>
                </w:p>
                <w:p>
                  <w:pPr>
                    <w:jc w:val="center"/>
                    <w:rPr>
                      <w:rFonts w:hint="eastAsia" w:eastAsia="宋体"/>
                      <w:color w:val="0000FF"/>
                      <w:lang w:eastAsia="zh-CN"/>
                    </w:rPr>
                  </w:pPr>
                  <w:r>
                    <w:rPr>
                      <w:rFonts w:hint="eastAsia"/>
                      <w:color w:val="0000FF"/>
                      <w:lang w:eastAsia="zh-CN"/>
                    </w:rPr>
                    <w:t>输水管道</w:t>
                  </w:r>
                </w:p>
              </w:txbxContent>
            </v:textbox>
          </v:shape>
        </w:pict>
      </w:r>
      <w:r>
        <w:rPr>
          <w:rFonts w:hint="eastAsia" w:ascii="Times New Roman" w:hAnsi="Times New Roman" w:eastAsia="黑体" w:cs="Times New Roman"/>
          <w:bCs/>
          <w:lang w:eastAsia="zh-CN"/>
        </w:rPr>
        <w:pict>
          <v:shape id="_x0000_i1037" o:spt="75" alt="8、管廊，绿色为进水" type="#_x0000_t75" style="height:225.4pt;width:400.7pt;" filled="f" o:preferrelative="t" stroked="f" coordsize="21600,21600">
            <v:path/>
            <v:fill on="f" focussize="0,0"/>
            <v:stroke on="f"/>
            <v:imagedata r:id="rId43" o:title="8、管廊，绿色为进水"/>
            <o:lock v:ext="edit" aspectratio="t"/>
            <w10:wrap type="none"/>
            <w10:anchorlock/>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_x0000_s2646" o:spid="_x0000_s2646" o:spt="61" type="#_x0000_t61" style="position:absolute;left:0pt;margin-left:213.85pt;margin-top:104.85pt;height:37.9pt;width:65.4pt;z-index:252001280;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color w:val="0000FF"/>
                      <w:lang w:eastAsia="zh-CN"/>
                    </w:rPr>
                  </w:pPr>
                  <w:r>
                    <w:rPr>
                      <w:rFonts w:hint="eastAsia"/>
                      <w:color w:val="0000FF"/>
                      <w:lang w:eastAsia="zh-CN"/>
                    </w:rPr>
                    <w:t>封闭的</w:t>
                  </w:r>
                </w:p>
                <w:p>
                  <w:pPr>
                    <w:jc w:val="center"/>
                    <w:rPr>
                      <w:rFonts w:hint="eastAsia" w:eastAsia="宋体"/>
                      <w:color w:val="0000FF"/>
                      <w:lang w:eastAsia="zh-CN"/>
                    </w:rPr>
                  </w:pPr>
                  <w:r>
                    <w:rPr>
                      <w:rFonts w:hint="eastAsia"/>
                      <w:color w:val="0000FF"/>
                      <w:lang w:eastAsia="zh-CN"/>
                    </w:rPr>
                    <w:t>输水管道</w:t>
                  </w:r>
                </w:p>
              </w:txbxContent>
            </v:textbox>
          </v:shape>
        </w:pict>
      </w:r>
      <w:r>
        <w:rPr>
          <w:rFonts w:hint="eastAsia" w:ascii="Times New Roman" w:hAnsi="Times New Roman" w:eastAsia="黑体" w:cs="Times New Roman"/>
          <w:bCs/>
          <w:lang w:eastAsia="zh-CN"/>
        </w:rPr>
        <w:pict>
          <v:shape id="_x0000_i1038" o:spt="75" alt="34、绿色为进水管" type="#_x0000_t75" style="height:225.05pt;width:400.1pt;" filled="f" o:preferrelative="t" stroked="f" coordsize="21600,21600">
            <v:path/>
            <v:fill on="f" focussize="0,0"/>
            <v:stroke on="f"/>
            <v:imagedata r:id="rId44" o:title="34、绿色为进水管"/>
            <o:lock v:ext="edit" aspectratio="t"/>
            <w10:wrap type="none"/>
            <w10:anchorlock/>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_x0000_s2647" o:spid="_x0000_s2647" o:spt="61" type="#_x0000_t61" style="position:absolute;left:0pt;margin-left:209.35pt;margin-top:178.9pt;height:28.15pt;width:77.35pt;z-index:252345344;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eastAsia="宋体"/>
                      <w:color w:val="0000FF"/>
                      <w:lang w:eastAsia="zh-CN"/>
                    </w:rPr>
                  </w:pPr>
                  <w:r>
                    <w:rPr>
                      <w:rFonts w:hint="eastAsia"/>
                      <w:color w:val="0000FF"/>
                      <w:lang w:eastAsia="zh-CN"/>
                    </w:rPr>
                    <w:t>预处理水池</w:t>
                  </w:r>
                </w:p>
              </w:txbxContent>
            </v:textbox>
          </v:shape>
        </w:pict>
      </w:r>
      <w:r>
        <w:rPr>
          <w:rFonts w:hint="eastAsia" w:ascii="Times New Roman" w:hAnsi="Times New Roman" w:eastAsia="黑体" w:cs="Times New Roman"/>
          <w:bCs/>
          <w:lang w:eastAsia="zh-CN"/>
        </w:rPr>
        <w:pict>
          <v:shape id="_x0000_i1039" o:spt="75" alt="50、预处理池" type="#_x0000_t75" style="height:223.85pt;width:397.95pt;" filled="f" o:preferrelative="t" stroked="f" coordsize="21600,21600">
            <v:path/>
            <v:fill on="f" focussize="0,0"/>
            <v:stroke on="f"/>
            <v:imagedata r:id="rId45" o:title="50、预处理池"/>
            <o:lock v:ext="edit" aspectratio="t"/>
            <w10:wrap type="none"/>
            <w10:anchorlock/>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_x0000_s2648" o:spid="_x0000_s2648" o:spt="61" type="#_x0000_t61" style="position:absolute;left:0pt;margin-left:304.6pt;margin-top:173.6pt;height:28.15pt;width:77.35pt;z-index:253033472;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eastAsia="宋体"/>
                      <w:color w:val="0000FF"/>
                      <w:lang w:eastAsia="zh-CN"/>
                    </w:rPr>
                  </w:pPr>
                  <w:r>
                    <w:rPr>
                      <w:rFonts w:hint="eastAsia"/>
                      <w:color w:val="0000FF"/>
                      <w:lang w:val="en-US" w:eastAsia="zh-CN"/>
                    </w:rPr>
                    <w:t>SBR池</w:t>
                  </w:r>
                </w:p>
              </w:txbxContent>
            </v:textbox>
          </v:shape>
        </w:pict>
      </w:r>
      <w:r>
        <w:rPr>
          <w:rFonts w:hint="eastAsia" w:ascii="Times New Roman" w:hAnsi="Times New Roman" w:eastAsia="黑体" w:cs="Times New Roman"/>
          <w:bCs/>
          <w:lang w:eastAsia="zh-CN"/>
        </w:rPr>
        <w:pict>
          <v:shape id="_x0000_i1040" o:spt="75" alt="TIM图片20181126103649" type="#_x0000_t75" style="height:223.95pt;width:414.95pt;" filled="f" o:preferrelative="t" stroked="f" coordsize="21600,21600">
            <v:path/>
            <v:fill on="f" focussize="0,0"/>
            <v:stroke on="f"/>
            <v:imagedata r:id="rId46" o:title="TIM图片20181126103649"/>
            <o:lock v:ext="edit" aspectratio="t"/>
            <w10:wrap type="none"/>
            <w10:anchorlock/>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宋体" w:cs="Times New Roman"/>
          <w:kern w:val="2"/>
          <w:sz w:val="24"/>
          <w:szCs w:val="20"/>
          <w:lang w:val="en-US" w:eastAsia="zh-CN" w:bidi="ar-SA"/>
        </w:rPr>
        <w:pict>
          <v:shape id="_x0000_s2649" o:spid="_x0000_s2649" o:spt="61" type="#_x0000_t61" style="position:absolute;left:0pt;margin-left:243.85pt;margin-top:149.8pt;height:28.15pt;width:77.35pt;z-index:254409728;v-text-anchor:middle;mso-width-relative:page;mso-height-relative:page;" filled="f" stroked="t" coordsize="21600,21600" adj="-8505,-6814">
            <v:path/>
            <v:fill on="f" focussize="0,0"/>
            <v:stroke weight="1pt" color="#2F528F" joinstyle="miter"/>
            <v:imagedata o:title=""/>
            <o:lock v:ext="edit" aspectratio="f"/>
            <v:textbox>
              <w:txbxContent>
                <w:p>
                  <w:pPr>
                    <w:jc w:val="center"/>
                    <w:rPr>
                      <w:rFonts w:hint="eastAsia" w:eastAsia="宋体"/>
                      <w:color w:val="0000FF"/>
                      <w:lang w:eastAsia="zh-CN"/>
                    </w:rPr>
                  </w:pPr>
                  <w:r>
                    <w:rPr>
                      <w:rFonts w:hint="eastAsia"/>
                      <w:color w:val="0000FF"/>
                      <w:lang w:val="en-US" w:eastAsia="zh-CN"/>
                    </w:rPr>
                    <w:t>出水池</w:t>
                  </w:r>
                </w:p>
              </w:txbxContent>
            </v:textbox>
          </v:shape>
        </w:pict>
      </w:r>
      <w:r>
        <w:rPr>
          <w:rFonts w:hint="eastAsia" w:ascii="Times New Roman" w:hAnsi="Times New Roman" w:eastAsia="黑体" w:cs="Times New Roman"/>
          <w:bCs/>
          <w:lang w:eastAsia="zh-CN"/>
        </w:rPr>
        <w:pict>
          <v:shape id="_x0000_i1041" o:spt="75" alt="出水的池子" type="#_x0000_t75" style="height:233.05pt;width:414.35pt;" filled="f" o:preferrelative="t" stroked="f" coordsize="21600,21600">
            <v:path/>
            <v:fill on="f" focussize="0,0"/>
            <v:stroke on="f"/>
            <v:imagedata r:id="rId47" o:title="出水的池子"/>
            <o:lock v:ext="edit" aspectratio="t"/>
            <w10:wrap type="none"/>
            <w10:anchorlock/>
          </v:shape>
        </w:pict>
      </w:r>
    </w:p>
    <w:p>
      <w:pPr>
        <w:pStyle w:val="30"/>
        <w:ind w:left="0" w:leftChars="0" w:firstLine="0" w:firstLineChars="0"/>
        <w:jc w:val="center"/>
        <w:rPr>
          <w:rFonts w:hint="eastAsia" w:ascii="Times New Roman" w:hAnsi="Times New Roman" w:eastAsia="黑体" w:cs="Times New Roman"/>
          <w:bCs/>
          <w:lang w:eastAsia="zh-CN"/>
        </w:rPr>
      </w:pPr>
      <w:r>
        <w:rPr>
          <w:rFonts w:ascii="Times New Roman" w:hAnsi="Times New Roman" w:eastAsia="黑体" w:cs="Times New Roman"/>
          <w:bCs/>
        </w:rPr>
        <w:t xml:space="preserve">图4.1-1   </w:t>
      </w:r>
      <w:r>
        <w:rPr>
          <w:rFonts w:hint="eastAsia" w:ascii="Times New Roman" w:hAnsi="Times New Roman" w:eastAsia="黑体" w:cs="Times New Roman"/>
          <w:bCs/>
          <w:lang w:eastAsia="zh-CN"/>
        </w:rPr>
        <w:t>封闭输水管道、</w:t>
      </w:r>
      <w:r>
        <w:rPr>
          <w:rFonts w:hint="eastAsia" w:ascii="Times New Roman" w:hAnsi="Times New Roman" w:eastAsia="黑体" w:cs="Times New Roman"/>
          <w:bCs/>
          <w:lang w:val="en-US" w:eastAsia="zh-CN"/>
        </w:rPr>
        <w:t>SBR池、出水池</w:t>
      </w:r>
      <w:r>
        <w:rPr>
          <w:rFonts w:hint="eastAsia" w:ascii="Times New Roman" w:hAnsi="Times New Roman" w:eastAsia="黑体" w:cs="Times New Roman"/>
          <w:bCs/>
          <w:lang w:eastAsia="zh-CN"/>
        </w:rPr>
        <w:t>等</w:t>
      </w:r>
    </w:p>
    <w:p>
      <w:pPr>
        <w:pStyle w:val="5"/>
        <w:rPr>
          <w:rFonts w:hint="eastAsia" w:ascii="Times New Roman" w:hAnsi="Times New Roman" w:eastAsia="宋体" w:cs="Times New Roman"/>
          <w:sz w:val="24"/>
          <w:szCs w:val="24"/>
          <w:lang w:eastAsia="zh-CN"/>
        </w:rPr>
      </w:pPr>
      <w:bookmarkStart w:id="57" w:name="_Toc13265"/>
      <w:r>
        <w:rPr>
          <w:rFonts w:ascii="Times New Roman" w:hAnsi="Times New Roman" w:cs="Times New Roman"/>
          <w:sz w:val="24"/>
          <w:szCs w:val="24"/>
        </w:rPr>
        <w:t xml:space="preserve">4.2 </w:t>
      </w:r>
      <w:bookmarkEnd w:id="57"/>
      <w:r>
        <w:rPr>
          <w:rFonts w:hint="eastAsia" w:ascii="Times New Roman" w:hAnsi="Times New Roman" w:cs="Times New Roman"/>
          <w:sz w:val="24"/>
          <w:szCs w:val="24"/>
          <w:lang w:eastAsia="zh-CN"/>
        </w:rPr>
        <w:t>废水</w:t>
      </w:r>
    </w:p>
    <w:p>
      <w:pPr>
        <w:spacing w:line="360" w:lineRule="auto"/>
        <w:ind w:firstLine="480" w:firstLineChars="200"/>
        <w:rPr>
          <w:sz w:val="24"/>
        </w:rPr>
      </w:pPr>
      <w:r>
        <w:rPr>
          <w:rFonts w:hint="eastAsia"/>
          <w:sz w:val="24"/>
        </w:rPr>
        <w:t>项目设置污水处理站1座，处理规模为22</w:t>
      </w:r>
      <w:r>
        <w:rPr>
          <w:sz w:val="24"/>
        </w:rPr>
        <w:t>0m³/h</w:t>
      </w:r>
      <w:r>
        <w:rPr>
          <w:rFonts w:hint="eastAsia"/>
          <w:sz w:val="24"/>
        </w:rPr>
        <w:t>，</w:t>
      </w:r>
      <w:r>
        <w:rPr>
          <w:sz w:val="24"/>
        </w:rPr>
        <w:t>采用SBR处理工艺，用以处理</w:t>
      </w:r>
      <w:r>
        <w:rPr>
          <w:rFonts w:hint="eastAsia"/>
          <w:sz w:val="24"/>
        </w:rPr>
        <w:t>现有</w:t>
      </w:r>
      <w:r>
        <w:rPr>
          <w:sz w:val="24"/>
        </w:rPr>
        <w:t>厂区产生的</w:t>
      </w:r>
      <w:r>
        <w:rPr>
          <w:rFonts w:hint="eastAsia"/>
          <w:sz w:val="24"/>
        </w:rPr>
        <w:t>各种</w:t>
      </w:r>
      <w:r>
        <w:rPr>
          <w:sz w:val="24"/>
        </w:rPr>
        <w:t>生产废水。</w:t>
      </w:r>
    </w:p>
    <w:p>
      <w:pPr>
        <w:pStyle w:val="5"/>
        <w:rPr>
          <w:rFonts w:hint="eastAsia" w:ascii="宋体" w:hAnsi="宋体" w:eastAsia="宋体" w:cs="宋体"/>
          <w:b w:val="0"/>
          <w:bCs w:val="0"/>
          <w:sz w:val="24"/>
          <w:szCs w:val="24"/>
          <w:lang w:val="en-US" w:eastAsia="zh-CN"/>
        </w:rPr>
      </w:pPr>
      <w:r>
        <w:rPr>
          <w:rFonts w:hint="eastAsia"/>
          <w:lang w:val="en-US" w:eastAsia="zh-CN"/>
        </w:rPr>
        <w:t xml:space="preserve">    </w:t>
      </w:r>
      <w:r>
        <w:rPr>
          <w:rFonts w:hint="eastAsia" w:ascii="宋体" w:hAnsi="宋体" w:eastAsia="宋体" w:cs="宋体"/>
          <w:b w:val="0"/>
          <w:bCs w:val="0"/>
          <w:sz w:val="24"/>
          <w:szCs w:val="24"/>
          <w:lang w:val="en-US" w:eastAsia="zh-CN"/>
        </w:rPr>
        <w:t>根据废水种类，对厂区的废水进行分质处理，甲醇装置产生的含蜡废水、ABC汽提塔高氨氮废水主要污染物为氨氮，双醋废水主要为pH、含硫废水和气化废水主要污染物为氨氮和硫化物，分质进行预处理后，再进行生化处理</w:t>
      </w:r>
      <w:r>
        <w:rPr>
          <w:rFonts w:hint="eastAsia" w:ascii="宋体" w:hAnsi="宋体" w:cs="宋体"/>
          <w:b w:val="0"/>
          <w:bCs w:val="0"/>
          <w:sz w:val="24"/>
          <w:szCs w:val="24"/>
          <w:lang w:val="en-US" w:eastAsia="zh-CN"/>
        </w:rPr>
        <w:t>。出水达到《黄河流域(陕西段)污水综合排放标准》（DB61/224-2001）中一级标准和《污水综合排放标准》（GB8978-1996）中二级标准的相关标准限值的要求后排入高新区污水处理厂。</w:t>
      </w:r>
    </w:p>
    <w:p>
      <w:pPr>
        <w:pStyle w:val="30"/>
        <w:ind w:firstLine="0" w:firstLineChars="0"/>
        <w:jc w:val="center"/>
        <w:rPr>
          <w:rFonts w:hint="eastAsia" w:ascii="Times New Roman" w:hAnsi="Times New Roman" w:eastAsia="黑体" w:cs="Times New Roman"/>
          <w:bCs/>
          <w:lang w:eastAsia="zh-CN"/>
        </w:rPr>
      </w:pPr>
      <w:r>
        <w:rPr>
          <w:rFonts w:hint="eastAsia" w:ascii="Times New Roman" w:hAnsi="Times New Roman" w:eastAsia="黑体" w:cs="Times New Roman"/>
          <w:bCs/>
          <w:lang w:eastAsia="zh-CN"/>
        </w:rPr>
        <w:pict>
          <v:shape id="_x0000_i1042" o:spt="75" alt="60、SBR池出水" type="#_x0000_t75" style="height:233.05pt;width:414.35pt;" filled="f" o:preferrelative="t" stroked="f" coordsize="21600,21600">
            <v:path/>
            <v:fill on="f" focussize="0,0"/>
            <v:stroke on="f"/>
            <v:imagedata r:id="rId48" o:title="60、SBR池出水"/>
            <o:lock v:ext="edit" aspectratio="t"/>
            <w10:wrap type="none"/>
            <w10:anchorlock/>
          </v:shape>
        </w:pict>
      </w:r>
    </w:p>
    <w:p>
      <w:pPr>
        <w:pStyle w:val="30"/>
        <w:ind w:firstLine="0" w:firstLineChars="0"/>
        <w:jc w:val="center"/>
        <w:rPr>
          <w:rFonts w:hint="eastAsia" w:ascii="Times New Roman" w:hAnsi="Times New Roman" w:eastAsia="黑体" w:cs="Times New Roman"/>
          <w:bCs/>
          <w:lang w:val="en-US" w:eastAsia="zh-CN"/>
        </w:rPr>
      </w:pPr>
      <w:r>
        <w:rPr>
          <w:rFonts w:ascii="Times New Roman" w:hAnsi="Times New Roman" w:eastAsia="黑体" w:cs="Times New Roman"/>
          <w:bCs/>
        </w:rPr>
        <w:t>图4.</w:t>
      </w:r>
      <w:r>
        <w:rPr>
          <w:rFonts w:hint="eastAsia" w:ascii="Times New Roman" w:hAnsi="Times New Roman" w:eastAsia="黑体" w:cs="Times New Roman"/>
          <w:bCs/>
        </w:rPr>
        <w:t>2</w:t>
      </w:r>
      <w:r>
        <w:rPr>
          <w:rFonts w:ascii="Times New Roman" w:hAnsi="Times New Roman" w:eastAsia="黑体" w:cs="Times New Roman"/>
          <w:bCs/>
        </w:rPr>
        <w:t xml:space="preserve">-1   </w:t>
      </w:r>
      <w:r>
        <w:rPr>
          <w:rFonts w:hint="eastAsia" w:ascii="Times New Roman" w:hAnsi="Times New Roman" w:eastAsia="黑体" w:cs="Times New Roman"/>
          <w:bCs/>
          <w:lang w:val="en-US" w:eastAsia="zh-CN"/>
        </w:rPr>
        <w:t>SBR出水</w:t>
      </w:r>
    </w:p>
    <w:p>
      <w:pPr>
        <w:pStyle w:val="30"/>
        <w:ind w:firstLine="0" w:firstLineChars="0"/>
        <w:jc w:val="center"/>
        <w:rPr>
          <w:rFonts w:hint="eastAsia" w:ascii="Times New Roman" w:hAnsi="Times New Roman" w:eastAsia="黑体" w:cs="Times New Roman"/>
          <w:bCs/>
          <w:lang w:val="en-US" w:eastAsia="zh-CN"/>
        </w:rPr>
      </w:pPr>
      <w:r>
        <w:rPr>
          <w:rFonts w:hint="eastAsia" w:ascii="Times New Roman" w:hAnsi="Times New Roman" w:eastAsia="黑体" w:cs="Times New Roman"/>
          <w:bCs/>
          <w:lang w:val="en-US" w:eastAsia="zh-CN"/>
        </w:rPr>
        <w:pict>
          <v:shape id="_x0000_i1043" o:spt="75" alt="1废水处理出水口" type="#_x0000_t75" style="height:233.05pt;width:414.35pt;" filled="f" o:preferrelative="t" stroked="f" coordsize="21600,21600">
            <v:path/>
            <v:fill on="f" focussize="0,0"/>
            <v:stroke on="f"/>
            <v:imagedata r:id="rId49" o:title="1废水处理出水口"/>
            <o:lock v:ext="edit" aspectratio="t"/>
            <w10:wrap type="none"/>
            <w10:anchorlock/>
          </v:shape>
        </w:pict>
      </w:r>
    </w:p>
    <w:p>
      <w:pPr>
        <w:pStyle w:val="30"/>
        <w:ind w:firstLine="0" w:firstLineChars="0"/>
        <w:jc w:val="center"/>
        <w:rPr>
          <w:rFonts w:hint="eastAsia" w:ascii="Times New Roman" w:hAnsi="Times New Roman" w:eastAsia="黑体" w:cs="Times New Roman"/>
          <w:bCs/>
          <w:lang w:val="en-US" w:eastAsia="zh-CN"/>
        </w:rPr>
      </w:pPr>
      <w:r>
        <w:rPr>
          <w:rFonts w:hint="eastAsia" w:ascii="Times New Roman" w:hAnsi="Times New Roman" w:eastAsia="黑体" w:cs="Times New Roman"/>
          <w:bCs/>
          <w:lang w:val="en-US" w:eastAsia="zh-CN"/>
        </w:rPr>
        <w:t>图4.2-2 废水处理站出水</w:t>
      </w:r>
    </w:p>
    <w:p>
      <w:pPr>
        <w:pStyle w:val="30"/>
        <w:ind w:firstLine="480" w:firstLineChars="0"/>
        <w:jc w:val="both"/>
        <w:rPr>
          <w:rFonts w:hint="eastAsia" w:ascii="宋体" w:hAnsi="宋体" w:eastAsia="宋体" w:cs="宋体"/>
          <w:bCs/>
          <w:lang w:val="en-US" w:eastAsia="zh-CN"/>
        </w:rPr>
      </w:pPr>
      <w:r>
        <w:rPr>
          <w:rFonts w:hint="eastAsia" w:ascii="宋体" w:hAnsi="宋体" w:eastAsia="宋体" w:cs="宋体"/>
          <w:bCs/>
          <w:lang w:val="en-US" w:eastAsia="zh-CN"/>
        </w:rPr>
        <w:t>建设单位安装了在线监测装置，对废水处理站的出水进行实时在线监测。</w:t>
      </w:r>
    </w:p>
    <w:p>
      <w:pPr>
        <w:pStyle w:val="30"/>
        <w:ind w:left="0" w:leftChars="0" w:firstLine="0" w:firstLineChars="0"/>
        <w:jc w:val="both"/>
        <w:rPr>
          <w:rFonts w:hint="eastAsia" w:ascii="宋体" w:hAnsi="宋体" w:eastAsia="宋体" w:cs="宋体"/>
          <w:bCs/>
          <w:lang w:val="en-US" w:eastAsia="zh-CN"/>
        </w:rPr>
      </w:pPr>
      <w:r>
        <w:rPr>
          <w:rFonts w:ascii="Times New Roman" w:hAnsi="Times New Roman" w:eastAsia="宋体" w:cs="Times New Roman"/>
          <w:kern w:val="2"/>
          <w:sz w:val="24"/>
          <w:szCs w:val="20"/>
          <w:lang w:val="en-US" w:eastAsia="zh-CN" w:bidi="ar-SA"/>
        </w:rPr>
        <w:pict>
          <v:shape id="_x0000_s2651" o:spid="_x0000_s2651" o:spt="61" type="#_x0000_t61" style="position:absolute;left:0pt;margin-left:314.35pt;margin-top:289.85pt;height:28.15pt;width:84.85pt;z-index:262667264;v-text-anchor:middle;mso-width-relative:page;mso-height-relative:page;" filled="f" stroked="t" coordsize="21600,21600" adj="-8505,-6814">
            <v:path/>
            <v:fill on="f" focussize="0,0"/>
            <v:stroke weight="1pt" color="#FF0000" joinstyle="miter"/>
            <v:imagedata o:title=""/>
            <o:lock v:ext="edit" aspectratio="f"/>
            <v:textbox>
              <w:txbxContent>
                <w:p>
                  <w:pPr>
                    <w:jc w:val="center"/>
                    <w:rPr>
                      <w:rFonts w:hint="eastAsia" w:eastAsia="宋体"/>
                      <w:color w:val="0000FF"/>
                      <w:lang w:val="en-US" w:eastAsia="zh-CN"/>
                    </w:rPr>
                  </w:pPr>
                  <w:r>
                    <w:rPr>
                      <w:rFonts w:hint="eastAsia"/>
                      <w:color w:val="FF0000"/>
                      <w:lang w:val="en-US" w:eastAsia="zh-CN"/>
                    </w:rPr>
                    <w:t>在线监测设备</w:t>
                  </w:r>
                </w:p>
              </w:txbxContent>
            </v:textbox>
          </v:shape>
        </w:pict>
      </w:r>
      <w:r>
        <w:rPr>
          <w:rFonts w:ascii="Times New Roman" w:hAnsi="Times New Roman" w:eastAsia="宋体" w:cs="Times New Roman"/>
          <w:kern w:val="2"/>
          <w:sz w:val="24"/>
          <w:szCs w:val="20"/>
          <w:lang w:val="en-US" w:eastAsia="zh-CN" w:bidi="ar-SA"/>
        </w:rPr>
        <w:pict>
          <v:shape id="_x0000_s2650" o:spid="_x0000_s2650" o:spt="61" type="#_x0000_t61" style="position:absolute;left:0pt;margin-left:74.35pt;margin-top:288.35pt;height:28.15pt;width:77.35pt;z-index:257162240;v-text-anchor:middle;mso-width-relative:page;mso-height-relative:page;" filled="f" stroked="t" coordsize="21600,21600" adj="-8505,-6814">
            <v:path/>
            <v:fill on="f" focussize="0,0"/>
            <v:stroke weight="1pt" color="#FF0000" joinstyle="miter"/>
            <v:imagedata o:title=""/>
            <o:lock v:ext="edit" aspectratio="f"/>
            <v:textbox>
              <w:txbxContent>
                <w:p>
                  <w:pPr>
                    <w:jc w:val="center"/>
                    <w:rPr>
                      <w:rFonts w:hint="eastAsia" w:eastAsia="宋体"/>
                      <w:color w:val="FF0000"/>
                      <w:lang w:val="en-US" w:eastAsia="zh-CN"/>
                    </w:rPr>
                  </w:pPr>
                  <w:r>
                    <w:rPr>
                      <w:rFonts w:hint="eastAsia"/>
                      <w:color w:val="FF0000"/>
                      <w:lang w:val="en-US" w:eastAsia="zh-CN"/>
                    </w:rPr>
                    <w:t>pH监测仪</w:t>
                  </w:r>
                </w:p>
              </w:txbxContent>
            </v:textbox>
          </v:shape>
        </w:pict>
      </w:r>
      <w:r>
        <w:rPr>
          <w:rFonts w:hint="eastAsia" w:ascii="宋体" w:hAnsi="宋体" w:eastAsia="宋体" w:cs="宋体"/>
          <w:bCs/>
          <w:lang w:val="en-US" w:eastAsia="zh-CN"/>
        </w:rPr>
        <w:pict>
          <v:shape id="_x0000_i1044" o:spt="75" alt="2、废水处理pH监测仪器" type="#_x0000_t75" style="height:196.75pt;width:349.85pt;rotation:5898240f;" filled="f" o:preferrelative="t" stroked="f" coordsize="21600,21600">
            <v:path/>
            <v:fill on="f" focussize="0,0"/>
            <v:stroke on="f"/>
            <v:imagedata r:id="rId50" o:title="2、废水处理pH监测仪器"/>
            <o:lock v:ext="edit" aspectratio="t"/>
            <w10:wrap type="none"/>
            <w10:anchorlock/>
          </v:shape>
        </w:pict>
      </w:r>
      <w:r>
        <w:rPr>
          <w:rFonts w:hint="eastAsia" w:ascii="宋体" w:cs="宋体"/>
          <w:bCs/>
          <w:lang w:val="en-US" w:eastAsia="zh-CN"/>
        </w:rPr>
        <w:t xml:space="preserve">   </w:t>
      </w:r>
      <w:r>
        <w:rPr>
          <w:rFonts w:hint="eastAsia" w:ascii="宋体" w:hAnsi="宋体" w:eastAsia="宋体" w:cs="宋体"/>
          <w:bCs/>
          <w:lang w:val="en-US" w:eastAsia="zh-CN"/>
        </w:rPr>
        <w:pict>
          <v:shape id="_x0000_i1045" o:spt="75" alt="11、在线监测1" type="#_x0000_t75" style="height:197.5pt;width:351.05pt;rotation:5898240f;" filled="f" o:preferrelative="t" stroked="f" coordsize="21600,21600">
            <v:path/>
            <v:fill on="f" focussize="0,0"/>
            <v:stroke on="f"/>
            <v:imagedata r:id="rId51" o:title="11、在线监测1"/>
            <o:lock v:ext="edit" aspectratio="t"/>
            <w10:wrap type="none"/>
            <w10:anchorlock/>
          </v:shape>
        </w:pict>
      </w:r>
    </w:p>
    <w:p>
      <w:pPr>
        <w:pStyle w:val="30"/>
        <w:ind w:left="0" w:leftChars="0" w:firstLine="0" w:firstLineChars="0"/>
        <w:jc w:val="both"/>
        <w:rPr>
          <w:rFonts w:hint="eastAsia" w:ascii="宋体" w:hAnsi="宋体" w:eastAsia="宋体" w:cs="宋体"/>
          <w:bCs/>
          <w:lang w:val="en-US" w:eastAsia="zh-CN"/>
        </w:rPr>
      </w:pPr>
      <w:r>
        <w:rPr>
          <w:rFonts w:ascii="Times New Roman" w:hAnsi="Times New Roman" w:eastAsia="宋体" w:cs="Times New Roman"/>
          <w:kern w:val="2"/>
          <w:sz w:val="24"/>
          <w:szCs w:val="20"/>
          <w:lang w:val="en-US" w:eastAsia="zh-CN" w:bidi="ar-SA"/>
        </w:rPr>
        <w:pict>
          <v:shape id="_x0000_s2652" o:spid="_x0000_s2652" o:spt="61" type="#_x0000_t61" style="position:absolute;left:0pt;margin-left:258.1pt;margin-top:174.05pt;height:28.15pt;width:77.35pt;z-index:268172288;v-text-anchor:middle;mso-width-relative:page;mso-height-relative:page;" filled="f" stroked="t" coordsize="21600,21600" adj="-8505,-6814">
            <v:path/>
            <v:fill on="f" focussize="0,0"/>
            <v:stroke weight="1pt" color="#FF0000" joinstyle="miter"/>
            <v:imagedata o:title=""/>
            <o:lock v:ext="edit" aspectratio="f"/>
            <v:textbox>
              <w:txbxContent>
                <w:p>
                  <w:pPr>
                    <w:jc w:val="center"/>
                    <w:rPr>
                      <w:rFonts w:hint="eastAsia" w:eastAsia="宋体"/>
                      <w:color w:val="FF0000"/>
                      <w:lang w:val="en-US" w:eastAsia="zh-CN"/>
                    </w:rPr>
                  </w:pPr>
                  <w:r>
                    <w:rPr>
                      <w:rFonts w:hint="eastAsia"/>
                      <w:color w:val="FF0000"/>
                      <w:lang w:val="en-US" w:eastAsia="zh-CN"/>
                    </w:rPr>
                    <w:t>中控设备</w:t>
                  </w:r>
                </w:p>
              </w:txbxContent>
            </v:textbox>
          </v:shape>
        </w:pict>
      </w:r>
      <w:r>
        <w:rPr>
          <w:rFonts w:hint="eastAsia" w:ascii="宋体" w:hAnsi="宋体" w:eastAsia="宋体" w:cs="宋体"/>
          <w:bCs/>
          <w:lang w:val="en-US" w:eastAsia="zh-CN"/>
        </w:rPr>
        <w:pict>
          <v:shape id="_x0000_i1046" o:spt="75" alt="6、中控3" type="#_x0000_t75" style="height:233.05pt;width:414.35pt;" filled="f" o:preferrelative="t" stroked="f" coordsize="21600,21600">
            <v:path/>
            <v:fill on="f" focussize="0,0"/>
            <v:stroke on="f"/>
            <v:imagedata r:id="rId52" o:title="6、中控3"/>
            <o:lock v:ext="edit" aspectratio="t"/>
            <w10:wrap type="none"/>
            <w10:anchorlock/>
          </v:shape>
        </w:pict>
      </w:r>
    </w:p>
    <w:p>
      <w:pPr>
        <w:pStyle w:val="30"/>
        <w:ind w:left="0" w:leftChars="0" w:firstLine="0" w:firstLineChars="0"/>
        <w:jc w:val="both"/>
        <w:rPr>
          <w:rFonts w:hint="eastAsia" w:ascii="宋体" w:hAnsi="宋体" w:eastAsia="宋体" w:cs="宋体"/>
          <w:bCs/>
          <w:lang w:val="en-US" w:eastAsia="zh-CN"/>
        </w:rPr>
      </w:pPr>
      <w:r>
        <w:rPr>
          <w:rFonts w:ascii="Times New Roman" w:hAnsi="Times New Roman" w:eastAsia="宋体" w:cs="Times New Roman"/>
          <w:kern w:val="2"/>
          <w:sz w:val="24"/>
          <w:szCs w:val="20"/>
          <w:lang w:val="en-US" w:eastAsia="zh-CN" w:bidi="ar-SA"/>
        </w:rPr>
        <w:pict>
          <v:shape id="_x0000_s2653" o:spid="_x0000_s2653" o:spt="61" type="#_x0000_t61" style="position:absolute;left:0pt;margin-left:256.6pt;margin-top:191.6pt;height:28.15pt;width:102.85pt;z-index:284687360;v-text-anchor:middle;mso-width-relative:page;mso-height-relative:page;" filled="f" stroked="t" coordsize="21600,21600" adj="-8505,-6814">
            <v:path/>
            <v:fill on="f" focussize="0,0"/>
            <v:stroke weight="1pt" color="#FF0000" joinstyle="miter"/>
            <v:imagedata o:title=""/>
            <o:lock v:ext="edit" aspectratio="f"/>
            <v:textbox>
              <w:txbxContent>
                <w:p>
                  <w:pPr>
                    <w:jc w:val="center"/>
                    <w:rPr>
                      <w:rFonts w:hint="eastAsia" w:eastAsia="宋体"/>
                      <w:color w:val="FF0000"/>
                      <w:lang w:val="en-US" w:eastAsia="zh-CN"/>
                    </w:rPr>
                  </w:pPr>
                  <w:r>
                    <w:rPr>
                      <w:rFonts w:hint="eastAsia"/>
                      <w:color w:val="FF0000"/>
                      <w:lang w:val="en-US" w:eastAsia="zh-CN"/>
                    </w:rPr>
                    <w:t>出水在线监测探头</w:t>
                  </w:r>
                </w:p>
              </w:txbxContent>
            </v:textbox>
          </v:shape>
        </w:pict>
      </w:r>
      <w:r>
        <w:rPr>
          <w:rFonts w:hint="eastAsia" w:ascii="宋体" w:hAnsi="宋体" w:eastAsia="宋体" w:cs="宋体"/>
          <w:bCs/>
          <w:lang w:val="en-US" w:eastAsia="zh-CN"/>
        </w:rPr>
        <w:pict>
          <v:shape id="_x0000_i1047" o:spt="75" alt="10、出水在线监测探头" type="#_x0000_t75" style="height:233.05pt;width:414.35pt;" filled="f" o:preferrelative="t" stroked="f" coordsize="21600,21600">
            <v:path/>
            <v:fill on="f" focussize="0,0"/>
            <v:stroke on="f"/>
            <v:imagedata r:id="rId53" o:title="10、出水在线监测探头"/>
            <o:lock v:ext="edit" aspectratio="t"/>
            <w10:wrap type="none"/>
            <w10:anchorlock/>
          </v:shape>
        </w:pict>
      </w:r>
    </w:p>
    <w:bookmarkEnd w:id="13"/>
    <w:bookmarkEnd w:id="14"/>
    <w:bookmarkEnd w:id="15"/>
    <w:p>
      <w:pPr>
        <w:widowControl/>
        <w:spacing w:line="360" w:lineRule="auto"/>
        <w:jc w:val="center"/>
        <w:rPr>
          <w:rFonts w:hint="eastAsia" w:ascii="Times New Roman" w:hAnsi="Times New Roman" w:cs="Times New Roman"/>
          <w:sz w:val="28"/>
          <w:szCs w:val="28"/>
          <w:lang w:val="en-US" w:eastAsia="zh-CN"/>
        </w:rPr>
      </w:pPr>
      <w:bookmarkStart w:id="58" w:name="_Toc109033340"/>
      <w:bookmarkStart w:id="59" w:name="_Toc109033242"/>
      <w:bookmarkStart w:id="60" w:name="_Toc133373698"/>
      <w:r>
        <w:rPr>
          <w:rFonts w:hint="eastAsia" w:ascii="Times New Roman" w:hAnsi="Times New Roman" w:cs="Times New Roman"/>
          <w:sz w:val="28"/>
          <w:szCs w:val="28"/>
          <w:lang w:val="en-US" w:eastAsia="zh-CN"/>
        </w:rPr>
        <w:t>图4.2-3  在线监测装置</w:t>
      </w:r>
    </w:p>
    <w:p>
      <w:pPr>
        <w:widowControl/>
        <w:spacing w:line="360" w:lineRule="auto"/>
        <w:jc w:val="left"/>
        <w:rPr>
          <w:rFonts w:hint="eastAsia" w:ascii="Times New Roman" w:hAnsi="Times New Roman" w:cs="Times New Roman"/>
          <w:sz w:val="28"/>
          <w:szCs w:val="28"/>
          <w:lang w:val="en-US" w:eastAsia="zh-CN"/>
        </w:rPr>
      </w:pPr>
      <w:r>
        <w:rPr>
          <w:rFonts w:hint="eastAsia" w:ascii="Times New Roman" w:hAnsi="Times New Roman" w:cs="Times New Roman"/>
          <w:sz w:val="28"/>
          <w:szCs w:val="28"/>
          <w:lang w:val="en-US" w:eastAsia="zh-CN"/>
        </w:rPr>
        <w:br w:type="page"/>
      </w:r>
    </w:p>
    <w:p>
      <w:pPr>
        <w:pStyle w:val="4"/>
        <w:jc w:val="both"/>
        <w:rPr>
          <w:rFonts w:cs="Times New Roman"/>
          <w:sz w:val="28"/>
          <w:szCs w:val="28"/>
        </w:rPr>
      </w:pPr>
      <w:bookmarkStart w:id="61" w:name="_Toc19424"/>
      <w:r>
        <w:rPr>
          <w:rFonts w:cs="Times New Roman"/>
          <w:sz w:val="28"/>
          <w:szCs w:val="28"/>
        </w:rPr>
        <w:t xml:space="preserve">5 </w:t>
      </w:r>
      <w:bookmarkEnd w:id="58"/>
      <w:bookmarkEnd w:id="59"/>
      <w:bookmarkEnd w:id="60"/>
      <w:r>
        <w:rPr>
          <w:rFonts w:cs="Times New Roman"/>
          <w:bCs w:val="0"/>
          <w:sz w:val="28"/>
          <w:szCs w:val="28"/>
        </w:rPr>
        <w:t>环境影响报告书主要结论与建议及其审批部门审批意见</w:t>
      </w:r>
      <w:bookmarkEnd w:id="61"/>
    </w:p>
    <w:p>
      <w:pPr>
        <w:pStyle w:val="5"/>
        <w:rPr>
          <w:rFonts w:ascii="Times New Roman" w:hAnsi="Times New Roman" w:cs="Times New Roman"/>
          <w:sz w:val="24"/>
          <w:szCs w:val="24"/>
        </w:rPr>
      </w:pPr>
      <w:bookmarkStart w:id="62" w:name="_Toc427247758"/>
      <w:bookmarkStart w:id="63" w:name="_Toc18544"/>
      <w:bookmarkStart w:id="64" w:name="_Toc210190249"/>
      <w:bookmarkStart w:id="65" w:name="_Toc109033348"/>
      <w:bookmarkStart w:id="66" w:name="_Toc133373706"/>
      <w:bookmarkStart w:id="67" w:name="_Toc109033250"/>
      <w:r>
        <w:rPr>
          <w:rFonts w:ascii="Times New Roman" w:hAnsi="Times New Roman" w:cs="Times New Roman"/>
          <w:sz w:val="24"/>
          <w:szCs w:val="24"/>
        </w:rPr>
        <w:t>5.1</w:t>
      </w:r>
      <w:bookmarkEnd w:id="62"/>
      <w:r>
        <w:rPr>
          <w:rFonts w:ascii="Times New Roman" w:hAnsi="Times New Roman" w:cs="Times New Roman"/>
          <w:sz w:val="24"/>
          <w:szCs w:val="24"/>
        </w:rPr>
        <w:t xml:space="preserve"> </w:t>
      </w:r>
      <w:r>
        <w:rPr>
          <w:rFonts w:ascii="Times New Roman" w:hAnsi="Times New Roman" w:cs="Times New Roman"/>
          <w:bCs w:val="0"/>
          <w:sz w:val="24"/>
          <w:szCs w:val="24"/>
        </w:rPr>
        <w:t>环境影响报告书主要结论与建议</w:t>
      </w:r>
      <w:bookmarkEnd w:id="63"/>
    </w:p>
    <w:p>
      <w:pPr>
        <w:pStyle w:val="5"/>
        <w:rPr>
          <w:rFonts w:ascii="Times New Roman" w:hAnsi="Times New Roman" w:cs="Times New Roman"/>
          <w:b w:val="0"/>
          <w:bCs w:val="0"/>
          <w:sz w:val="24"/>
          <w:szCs w:val="24"/>
        </w:rPr>
      </w:pPr>
      <w:bookmarkStart w:id="68" w:name="_Toc90400154"/>
      <w:bookmarkStart w:id="69" w:name="_Toc86738537"/>
      <w:bookmarkStart w:id="70" w:name="_Toc90226113"/>
      <w:bookmarkStart w:id="71" w:name="_Toc8812"/>
      <w:bookmarkStart w:id="72" w:name="_Toc104287121"/>
      <w:bookmarkStart w:id="73" w:name="_Toc17087"/>
      <w:bookmarkStart w:id="74" w:name="_Toc288636099"/>
      <w:bookmarkStart w:id="75" w:name="_Toc250985217"/>
      <w:bookmarkStart w:id="76" w:name="_Toc234584409"/>
      <w:bookmarkStart w:id="77" w:name="_Toc18101"/>
      <w:bookmarkStart w:id="78" w:name="_Toc16752"/>
      <w:bookmarkStart w:id="79" w:name="_Toc232742890"/>
      <w:bookmarkStart w:id="80" w:name="_Toc141977642"/>
      <w:bookmarkStart w:id="81" w:name="_Toc7640"/>
      <w:bookmarkStart w:id="82" w:name="_Toc195892978"/>
      <w:bookmarkStart w:id="83" w:name="_Toc390365036"/>
      <w:bookmarkStart w:id="84" w:name="_Toc304968821"/>
      <w:bookmarkStart w:id="85" w:name="_Toc427247760"/>
      <w:r>
        <w:rPr>
          <w:rFonts w:ascii="Times New Roman" w:hAnsi="Times New Roman" w:cs="Times New Roman"/>
          <w:b w:val="0"/>
          <w:bCs w:val="0"/>
          <w:sz w:val="24"/>
          <w:szCs w:val="24"/>
        </w:rPr>
        <w:t>一、</w:t>
      </w:r>
      <w:bookmarkEnd w:id="68"/>
      <w:bookmarkEnd w:id="69"/>
      <w:bookmarkEnd w:id="70"/>
      <w:r>
        <w:rPr>
          <w:rFonts w:ascii="Times New Roman" w:hAnsi="Times New Roman" w:cs="Times New Roman"/>
          <w:b w:val="0"/>
          <w:bCs w:val="0"/>
          <w:sz w:val="24"/>
          <w:szCs w:val="24"/>
        </w:rPr>
        <w:t>项目概况</w:t>
      </w:r>
      <w:bookmarkEnd w:id="71"/>
      <w:bookmarkEnd w:id="72"/>
      <w:bookmarkEnd w:id="73"/>
      <w:bookmarkEnd w:id="74"/>
      <w:bookmarkEnd w:id="75"/>
      <w:bookmarkEnd w:id="76"/>
      <w:bookmarkEnd w:id="77"/>
      <w:bookmarkEnd w:id="78"/>
      <w:bookmarkEnd w:id="79"/>
      <w:bookmarkEnd w:id="80"/>
      <w:bookmarkEnd w:id="81"/>
      <w:bookmarkEnd w:id="82"/>
      <w:bookmarkEnd w:id="83"/>
      <w:bookmarkEnd w:id="84"/>
    </w:p>
    <w:p>
      <w:pPr>
        <w:spacing w:line="360" w:lineRule="auto"/>
        <w:ind w:firstLine="480" w:firstLineChars="200"/>
        <w:rPr>
          <w:sz w:val="24"/>
        </w:rPr>
      </w:pPr>
      <w:bookmarkStart w:id="86" w:name="_Toc141977643"/>
      <w:bookmarkStart w:id="87" w:name="_Toc104287122"/>
      <w:r>
        <w:rPr>
          <w:rFonts w:ascii="Times New Roman" w:hAnsi="Times New Roman" w:eastAsia="宋体" w:cs="Times New Roman"/>
          <w:snapToGrid w:val="0"/>
          <w:kern w:val="0"/>
          <w:sz w:val="24"/>
        </w:rPr>
        <w:t>本项目</w:t>
      </w:r>
      <w:r>
        <w:rPr>
          <w:sz w:val="24"/>
        </w:rPr>
        <w:t>废水处理规模220m</w:t>
      </w:r>
      <w:r>
        <w:rPr>
          <w:sz w:val="24"/>
          <w:vertAlign w:val="superscript"/>
        </w:rPr>
        <w:t>3</w:t>
      </w:r>
      <w:r>
        <w:rPr>
          <w:sz w:val="24"/>
        </w:rPr>
        <w:t>/h，主要接收现有一、二期、三期未处理</w:t>
      </w:r>
      <w:r>
        <w:rPr>
          <w:rFonts w:hint="eastAsia"/>
          <w:sz w:val="24"/>
        </w:rPr>
        <w:t>和扩能增加的</w:t>
      </w:r>
      <w:r>
        <w:rPr>
          <w:sz w:val="24"/>
        </w:rPr>
        <w:t>气化废水、708装置含硫废水、三期醋酸醋酐装置产生的双醋废水，另外，还考虑5m</w:t>
      </w:r>
      <w:r>
        <w:rPr>
          <w:sz w:val="24"/>
          <w:vertAlign w:val="superscript"/>
        </w:rPr>
        <w:t>3</w:t>
      </w:r>
      <w:r>
        <w:rPr>
          <w:sz w:val="24"/>
        </w:rPr>
        <w:t>/h的设计余量。</w:t>
      </w:r>
      <w:r>
        <w:rPr>
          <w:bCs/>
          <w:sz w:val="24"/>
        </w:rPr>
        <w:t>甲醇含蜡废水、ABC汽提塔高氨氮废水</w:t>
      </w:r>
      <w:r>
        <w:rPr>
          <w:rFonts w:hint="eastAsia"/>
          <w:bCs/>
          <w:sz w:val="24"/>
        </w:rPr>
        <w:t>已考虑在本次污水处理站规模内，但是由于</w:t>
      </w:r>
      <w:r>
        <w:rPr>
          <w:bCs/>
          <w:sz w:val="24"/>
        </w:rPr>
        <w:t>甲醇含蜡废水、ABC汽提塔高氨氮废水</w:t>
      </w:r>
      <w:r>
        <w:rPr>
          <w:rFonts w:hint="eastAsia"/>
          <w:bCs/>
          <w:sz w:val="24"/>
        </w:rPr>
        <w:t>采用SBR处理工艺难以稳定达标，因此，目前暂时考虑</w:t>
      </w:r>
      <w:r>
        <w:rPr>
          <w:bCs/>
          <w:sz w:val="24"/>
        </w:rPr>
        <w:t>甲醇含蜡废水、ABC汽提塔高氨氮废水</w:t>
      </w:r>
      <w:r>
        <w:rPr>
          <w:rFonts w:hint="eastAsia"/>
          <w:bCs/>
          <w:sz w:val="24"/>
        </w:rPr>
        <w:t>继续用来磨煤，并进行气化焚烧处理。</w:t>
      </w:r>
    </w:p>
    <w:p>
      <w:pPr>
        <w:spacing w:line="360" w:lineRule="auto"/>
        <w:ind w:firstLine="480" w:firstLineChars="200"/>
        <w:rPr>
          <w:sz w:val="24"/>
        </w:rPr>
      </w:pPr>
      <w:r>
        <w:rPr>
          <w:rFonts w:hint="eastAsia"/>
          <w:sz w:val="24"/>
        </w:rPr>
        <w:t>进入污水处理站的废水中，</w:t>
      </w:r>
      <w:r>
        <w:rPr>
          <w:sz w:val="24"/>
        </w:rPr>
        <w:t>气化废水、含硫废水及经过混凝沉淀预处理、双醋废水经过中和池预处理，再与其它废水一同进入SBR处理装置。经过处理后的出水水质达到《黄河流域（陕西段）污水综合排放标准》（DB61/224-2011）一级标准及《污水综合排放标准》（</w:t>
      </w:r>
      <w:r>
        <w:rPr>
          <w:bCs/>
          <w:sz w:val="24"/>
        </w:rPr>
        <w:t>GB 8978-1996</w:t>
      </w:r>
      <w:r>
        <w:rPr>
          <w:sz w:val="24"/>
        </w:rPr>
        <w:t>）中二级标准，排入渭南高新区污水处理厂。</w:t>
      </w:r>
    </w:p>
    <w:p>
      <w:pPr>
        <w:spacing w:line="360" w:lineRule="auto"/>
        <w:ind w:firstLine="480" w:firstLineChars="200"/>
        <w:rPr>
          <w:rFonts w:ascii="Times New Roman" w:hAnsi="Times New Roman" w:eastAsia="宋体" w:cs="Times New Roman"/>
          <w:spacing w:val="-4"/>
          <w:sz w:val="24"/>
        </w:rPr>
      </w:pPr>
      <w:r>
        <w:rPr>
          <w:sz w:val="24"/>
        </w:rPr>
        <w:t>中水回用规模为150m</w:t>
      </w:r>
      <w:r>
        <w:rPr>
          <w:sz w:val="24"/>
          <w:vertAlign w:val="superscript"/>
        </w:rPr>
        <w:t>3</w:t>
      </w:r>
      <w:r>
        <w:rPr>
          <w:sz w:val="24"/>
        </w:rPr>
        <w:t>/h，中水的来源是动力车间222A反洗水、供排水车间超滤反洗水、循环水排水、斜管/虹吸滤池排水、斜管沉淀池/D型滤池排水，共计150m</w:t>
      </w:r>
      <w:r>
        <w:rPr>
          <w:sz w:val="24"/>
          <w:vertAlign w:val="superscript"/>
        </w:rPr>
        <w:t>3</w:t>
      </w:r>
      <w:r>
        <w:rPr>
          <w:sz w:val="24"/>
        </w:rPr>
        <w:t>/h，经过软化预处理和UF+RO膜技术对中水进行回用处理，经过处理后回用。</w:t>
      </w:r>
    </w:p>
    <w:p>
      <w:pPr>
        <w:pStyle w:val="5"/>
        <w:rPr>
          <w:rFonts w:hint="eastAsia" w:ascii="Times New Roman" w:hAnsi="Times New Roman" w:eastAsia="宋体" w:cs="Times New Roman"/>
          <w:b w:val="0"/>
          <w:bCs w:val="0"/>
          <w:sz w:val="24"/>
          <w:szCs w:val="24"/>
          <w:lang w:eastAsia="zh-CN"/>
        </w:rPr>
      </w:pPr>
      <w:bookmarkStart w:id="88" w:name="_Toc18422"/>
      <w:bookmarkStart w:id="89" w:name="_Toc22797"/>
      <w:bookmarkStart w:id="90" w:name="_Toc23923"/>
      <w:bookmarkStart w:id="91" w:name="_Toc390365037"/>
      <w:bookmarkStart w:id="92" w:name="_Toc304968822"/>
      <w:bookmarkStart w:id="93" w:name="_Toc250985218"/>
      <w:bookmarkStart w:id="94" w:name="_Toc288636100"/>
      <w:bookmarkStart w:id="95" w:name="_Toc11854"/>
      <w:bookmarkStart w:id="96" w:name="_Toc195892979"/>
      <w:bookmarkStart w:id="97" w:name="_Toc234584410"/>
      <w:bookmarkStart w:id="98" w:name="_Toc30021"/>
      <w:bookmarkStart w:id="99" w:name="_Toc232742891"/>
      <w:r>
        <w:rPr>
          <w:rFonts w:ascii="Times New Roman" w:hAnsi="Times New Roman" w:cs="Times New Roman"/>
          <w:b w:val="0"/>
          <w:bCs w:val="0"/>
          <w:sz w:val="24"/>
          <w:szCs w:val="24"/>
        </w:rPr>
        <w:t>二、</w:t>
      </w:r>
      <w:r>
        <w:rPr>
          <w:rFonts w:hint="eastAsia" w:ascii="Times New Roman" w:hAnsi="Times New Roman" w:cs="Times New Roman"/>
          <w:b w:val="0"/>
          <w:bCs w:val="0"/>
          <w:sz w:val="24"/>
          <w:szCs w:val="24"/>
          <w:lang w:eastAsia="zh-CN"/>
        </w:rPr>
        <w:t>环境质量现状</w:t>
      </w:r>
    </w:p>
    <w:p>
      <w:pPr>
        <w:pStyle w:val="5"/>
        <w:ind w:firstLine="480" w:firstLineChars="200"/>
        <w:rPr>
          <w:rFonts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1</w:t>
      </w:r>
      <w:r>
        <w:rPr>
          <w:rFonts w:hint="eastAsia" w:ascii="Times New Roman" w:hAnsi="Times New Roman" w:cs="Times New Roman"/>
          <w:b w:val="0"/>
          <w:bCs w:val="0"/>
          <w:sz w:val="24"/>
          <w:szCs w:val="24"/>
          <w:lang w:eastAsia="zh-CN"/>
        </w:rPr>
        <w:t>）环境空气</w:t>
      </w:r>
      <w:r>
        <w:rPr>
          <w:rFonts w:ascii="Times New Roman" w:hAnsi="Times New Roman" w:cs="Times New Roman"/>
          <w:b w:val="0"/>
          <w:bCs w:val="0"/>
          <w:sz w:val="24"/>
          <w:szCs w:val="24"/>
        </w:rPr>
        <w:t>质量现状</w:t>
      </w:r>
      <w:bookmarkEnd w:id="86"/>
      <w:bookmarkEnd w:id="87"/>
      <w:bookmarkEnd w:id="88"/>
      <w:bookmarkEnd w:id="89"/>
      <w:bookmarkEnd w:id="90"/>
      <w:bookmarkEnd w:id="91"/>
      <w:bookmarkEnd w:id="92"/>
      <w:bookmarkEnd w:id="93"/>
      <w:bookmarkEnd w:id="94"/>
      <w:bookmarkEnd w:id="95"/>
      <w:bookmarkEnd w:id="96"/>
      <w:bookmarkEnd w:id="97"/>
      <w:bookmarkEnd w:id="98"/>
      <w:bookmarkEnd w:id="99"/>
    </w:p>
    <w:p>
      <w:pPr>
        <w:spacing w:line="360" w:lineRule="auto"/>
        <w:ind w:firstLine="480" w:firstLineChars="200"/>
        <w:rPr>
          <w:spacing w:val="-4"/>
          <w:sz w:val="24"/>
        </w:rPr>
      </w:pPr>
      <w:bookmarkStart w:id="100" w:name="_Toc304968823"/>
      <w:bookmarkStart w:id="101" w:name="_Toc235609604"/>
      <w:bookmarkStart w:id="102" w:name="_Toc288636101"/>
      <w:bookmarkStart w:id="103" w:name="_Toc250985219"/>
      <w:bookmarkStart w:id="104" w:name="_Toc232742892"/>
      <w:bookmarkStart w:id="105" w:name="_Toc104287123"/>
      <w:bookmarkStart w:id="106" w:name="_Toc288636103"/>
      <w:bookmarkStart w:id="107" w:name="_Toc304968825"/>
      <w:bookmarkStart w:id="108" w:name="_Toc250985221"/>
      <w:bookmarkStart w:id="109" w:name="_Toc195892980"/>
      <w:bookmarkStart w:id="110" w:name="_Toc234584411"/>
      <w:bookmarkStart w:id="111" w:name="_Toc141977644"/>
      <w:r>
        <w:rPr>
          <w:sz w:val="24"/>
        </w:rPr>
        <w:t>项目区域环境空气中SO</w:t>
      </w:r>
      <w:r>
        <w:rPr>
          <w:sz w:val="24"/>
          <w:vertAlign w:val="subscript"/>
        </w:rPr>
        <w:t>2</w:t>
      </w:r>
      <w:r>
        <w:rPr>
          <w:sz w:val="24"/>
        </w:rPr>
        <w:t>、NO</w:t>
      </w:r>
      <w:r>
        <w:rPr>
          <w:sz w:val="24"/>
          <w:vertAlign w:val="subscript"/>
        </w:rPr>
        <w:t>2</w:t>
      </w:r>
      <w:r>
        <w:rPr>
          <w:sz w:val="24"/>
        </w:rPr>
        <w:t>、PM</w:t>
      </w:r>
      <w:r>
        <w:rPr>
          <w:sz w:val="24"/>
          <w:vertAlign w:val="subscript"/>
        </w:rPr>
        <w:t>10</w:t>
      </w:r>
      <w:r>
        <w:rPr>
          <w:sz w:val="24"/>
        </w:rPr>
        <w:t>1小时均值和24小时均值均满足GB3095-2012《环境空气质量标准》中二级标准，、NH</w:t>
      </w:r>
      <w:r>
        <w:rPr>
          <w:sz w:val="24"/>
          <w:vertAlign w:val="subscript"/>
        </w:rPr>
        <w:t>3</w:t>
      </w:r>
      <w:r>
        <w:rPr>
          <w:sz w:val="24"/>
        </w:rPr>
        <w:t>、H</w:t>
      </w:r>
      <w:r>
        <w:rPr>
          <w:sz w:val="24"/>
          <w:vertAlign w:val="subscript"/>
        </w:rPr>
        <w:t>2</w:t>
      </w:r>
      <w:r>
        <w:rPr>
          <w:sz w:val="24"/>
        </w:rPr>
        <w:t>S12</w:t>
      </w:r>
      <w:r>
        <w:rPr>
          <w:spacing w:val="-4"/>
          <w:sz w:val="24"/>
        </w:rPr>
        <w:t>小时均值均能够满足</w:t>
      </w:r>
      <w:r>
        <w:rPr>
          <w:sz w:val="24"/>
        </w:rPr>
        <w:t>TJ36-79《工业企业设计卫生标准》中居住区大气中有害物质的最高容许浓度</w:t>
      </w:r>
      <w:r>
        <w:rPr>
          <w:spacing w:val="-4"/>
          <w:sz w:val="24"/>
        </w:rPr>
        <w:t>要求。项目所在区域环境空气质量良好。</w:t>
      </w:r>
    </w:p>
    <w:p>
      <w:pPr>
        <w:pStyle w:val="6"/>
        <w:spacing w:before="0" w:after="0" w:line="360" w:lineRule="auto"/>
        <w:rPr>
          <w:b w:val="0"/>
          <w:bCs w:val="0"/>
          <w:sz w:val="24"/>
          <w:szCs w:val="24"/>
        </w:rPr>
      </w:pPr>
      <w:r>
        <w:rPr>
          <w:rFonts w:hint="eastAsia"/>
          <w:spacing w:val="-4"/>
          <w:sz w:val="24"/>
          <w:lang w:val="en-US" w:eastAsia="zh-CN"/>
        </w:rPr>
        <w:t xml:space="preserve">    </w:t>
      </w:r>
      <w:r>
        <w:rPr>
          <w:rFonts w:hint="eastAsia" w:ascii="宋体" w:hAnsi="宋体" w:eastAsia="宋体" w:cs="宋体"/>
          <w:b w:val="0"/>
          <w:bCs w:val="0"/>
          <w:sz w:val="24"/>
          <w:szCs w:val="24"/>
          <w:lang w:val="en-US" w:eastAsia="zh-CN"/>
        </w:rPr>
        <w:t>（2）</w:t>
      </w:r>
      <w:r>
        <w:rPr>
          <w:b w:val="0"/>
          <w:bCs w:val="0"/>
          <w:sz w:val="24"/>
          <w:szCs w:val="24"/>
        </w:rPr>
        <w:t>地下水环境质量现状</w:t>
      </w:r>
    </w:p>
    <w:p>
      <w:pPr>
        <w:spacing w:line="360" w:lineRule="auto"/>
        <w:ind w:firstLine="480" w:firstLineChars="200"/>
        <w:rPr>
          <w:sz w:val="24"/>
        </w:rPr>
      </w:pPr>
      <w:r>
        <w:rPr>
          <w:sz w:val="24"/>
        </w:rPr>
        <w:t>根据项目区地下水现场监测结果，本项目建设地地下水监测指标中所有监测点位的各项指标均符合《地下水质量标准》（GB/T14848-93）</w:t>
      </w:r>
      <w:r>
        <w:rPr>
          <w:rFonts w:hint="eastAsia" w:ascii="宋体" w:hAnsi="宋体" w:cs="宋体"/>
          <w:sz w:val="24"/>
        </w:rPr>
        <w:t>Ⅲ</w:t>
      </w:r>
      <w:r>
        <w:rPr>
          <w:sz w:val="24"/>
        </w:rPr>
        <w:t>级标准。</w:t>
      </w:r>
    </w:p>
    <w:p>
      <w:pPr>
        <w:pStyle w:val="5"/>
        <w:rPr>
          <w:rFonts w:ascii="Times New Roman" w:hAnsi="Times New Roman" w:cs="Times New Roman"/>
          <w:b w:val="0"/>
          <w:bCs w:val="0"/>
          <w:sz w:val="24"/>
          <w:szCs w:val="24"/>
        </w:rPr>
      </w:pPr>
      <w:bookmarkStart w:id="112" w:name="_Toc390365038"/>
      <w:bookmarkStart w:id="113" w:name="_Toc32068"/>
      <w:bookmarkStart w:id="114" w:name="_Toc8374"/>
      <w:bookmarkStart w:id="115" w:name="_Toc24565"/>
      <w:bookmarkStart w:id="116" w:name="_Toc11145"/>
      <w:bookmarkStart w:id="117" w:name="_Toc31529"/>
      <w:r>
        <w:rPr>
          <w:rFonts w:ascii="Times New Roman" w:hAnsi="Times New Roman" w:cs="Times New Roman"/>
          <w:b w:val="0"/>
          <w:bCs w:val="0"/>
          <w:sz w:val="24"/>
          <w:szCs w:val="24"/>
        </w:rPr>
        <w:t>三、项目建设与相关规划的相容性分析</w:t>
      </w:r>
      <w:bookmarkEnd w:id="100"/>
      <w:bookmarkEnd w:id="101"/>
      <w:bookmarkEnd w:id="102"/>
      <w:bookmarkEnd w:id="103"/>
      <w:bookmarkEnd w:id="112"/>
      <w:bookmarkEnd w:id="113"/>
      <w:bookmarkEnd w:id="114"/>
      <w:bookmarkEnd w:id="115"/>
      <w:bookmarkEnd w:id="116"/>
      <w:bookmarkEnd w:id="117"/>
    </w:p>
    <w:p>
      <w:pPr>
        <w:pStyle w:val="5"/>
        <w:ind w:firstLine="480" w:firstLineChars="200"/>
        <w:rPr>
          <w:sz w:val="24"/>
        </w:rPr>
      </w:pPr>
      <w:bookmarkStart w:id="118" w:name="_Toc288636102"/>
      <w:bookmarkStart w:id="119" w:name="_Toc15078"/>
      <w:bookmarkStart w:id="120" w:name="_Toc31377"/>
      <w:bookmarkStart w:id="121" w:name="_Toc304968824"/>
      <w:bookmarkStart w:id="122" w:name="_Toc235609605"/>
      <w:bookmarkStart w:id="123" w:name="_Toc250985220"/>
      <w:bookmarkStart w:id="124" w:name="_Toc26160"/>
      <w:bookmarkStart w:id="125" w:name="_Toc4465"/>
      <w:bookmarkStart w:id="126" w:name="_Toc1215"/>
      <w:bookmarkStart w:id="127" w:name="_Toc390365039"/>
      <w:r>
        <w:rPr>
          <w:b w:val="0"/>
          <w:bCs w:val="0"/>
          <w:sz w:val="24"/>
        </w:rPr>
        <w:t>项目建设性质属环境保护类，根据中华人民共和国国家发展和改革委员会第9号《产业结构调整指导目录(2011年本)（2013修订）》，本建设项目为废水处理工程，属鼓励类，属于第三十八、环境保护与资源节约综合利用中的第15条：“三废”综合利用及治理工程，符合国家的产业政策。</w:t>
      </w:r>
    </w:p>
    <w:p>
      <w:pPr>
        <w:pStyle w:val="5"/>
        <w:rPr>
          <w:rFonts w:ascii="Times New Roman" w:hAnsi="Times New Roman" w:cs="Times New Roman"/>
          <w:b w:val="0"/>
          <w:bCs w:val="0"/>
          <w:sz w:val="24"/>
          <w:szCs w:val="24"/>
        </w:rPr>
      </w:pPr>
      <w:r>
        <w:rPr>
          <w:rFonts w:ascii="Times New Roman" w:hAnsi="Times New Roman" w:cs="Times New Roman"/>
          <w:b w:val="0"/>
          <w:bCs w:val="0"/>
          <w:sz w:val="24"/>
          <w:szCs w:val="24"/>
        </w:rPr>
        <w:t>四、环境影响预测与评价结论</w:t>
      </w:r>
      <w:bookmarkEnd w:id="118"/>
      <w:bookmarkEnd w:id="119"/>
      <w:bookmarkEnd w:id="120"/>
      <w:bookmarkEnd w:id="121"/>
      <w:bookmarkEnd w:id="122"/>
      <w:bookmarkEnd w:id="123"/>
      <w:bookmarkEnd w:id="124"/>
      <w:bookmarkEnd w:id="125"/>
      <w:bookmarkEnd w:id="126"/>
      <w:bookmarkEnd w:id="127"/>
    </w:p>
    <w:p>
      <w:pPr>
        <w:pStyle w:val="30"/>
        <w:ind w:firstLine="480"/>
        <w:rPr>
          <w:rFonts w:hint="eastAsia" w:ascii="Times New Roman" w:hAnsi="Times New Roman" w:eastAsia="宋体" w:cs="Times New Roman"/>
          <w:szCs w:val="24"/>
          <w:lang w:eastAsia="zh-CN"/>
        </w:rPr>
      </w:pPr>
      <w:r>
        <w:rPr>
          <w:rFonts w:ascii="Times New Roman" w:hAnsi="Times New Roman" w:eastAsia="宋体" w:cs="Times New Roman"/>
          <w:szCs w:val="24"/>
        </w:rPr>
        <w:t>（1）</w:t>
      </w:r>
      <w:r>
        <w:rPr>
          <w:rFonts w:hint="eastAsia" w:ascii="Times New Roman" w:hAnsi="Times New Roman" w:cs="Times New Roman"/>
          <w:szCs w:val="24"/>
          <w:lang w:eastAsia="zh-CN"/>
        </w:rPr>
        <w:t>废气</w:t>
      </w:r>
      <w:r>
        <w:rPr>
          <w:rFonts w:ascii="Times New Roman" w:hAnsi="Times New Roman" w:eastAsia="宋体" w:cs="Times New Roman"/>
          <w:szCs w:val="24"/>
        </w:rPr>
        <w:t>环境影响</w:t>
      </w:r>
      <w:r>
        <w:rPr>
          <w:rFonts w:hint="eastAsia" w:ascii="Times New Roman" w:hAnsi="Times New Roman" w:cs="Times New Roman"/>
          <w:szCs w:val="24"/>
          <w:lang w:eastAsia="zh-CN"/>
        </w:rPr>
        <w:t>评价</w:t>
      </w:r>
    </w:p>
    <w:p>
      <w:pPr>
        <w:pStyle w:val="19"/>
        <w:spacing w:after="0" w:line="360" w:lineRule="auto"/>
        <w:ind w:left="0" w:leftChars="0" w:firstLine="482"/>
        <w:rPr>
          <w:sz w:val="24"/>
          <w:szCs w:val="24"/>
        </w:rPr>
      </w:pPr>
      <w:r>
        <w:rPr>
          <w:sz w:val="24"/>
          <w:szCs w:val="24"/>
        </w:rPr>
        <w:t>该工程产生的空气污染物主要是恶臭。</w:t>
      </w:r>
    </w:p>
    <w:p>
      <w:pPr>
        <w:spacing w:line="360" w:lineRule="auto"/>
        <w:ind w:firstLine="480" w:firstLineChars="200"/>
        <w:rPr>
          <w:sz w:val="24"/>
        </w:rPr>
      </w:pPr>
      <w:r>
        <w:rPr>
          <w:sz w:val="24"/>
        </w:rPr>
        <w:t>由于本项目所在渭化集团四周敏感点较多，因此，环评要求将恶臭必须收集处理后，采用排气筒排放。采取措施后对恶臭气体的影响预测，预测结果为: 正常工况下，污水厂运行期排放到大气中的有组织废气浓度均满足《工业企业设计卫生标准》居住区大气中有害物质的最高容许浓度限值。区域NH</w:t>
      </w:r>
      <w:r>
        <w:rPr>
          <w:sz w:val="24"/>
          <w:vertAlign w:val="subscript"/>
        </w:rPr>
        <w:t>3</w:t>
      </w:r>
      <w:r>
        <w:rPr>
          <w:sz w:val="24"/>
        </w:rPr>
        <w:t>、H</w:t>
      </w:r>
      <w:r>
        <w:rPr>
          <w:sz w:val="24"/>
          <w:vertAlign w:val="subscript"/>
        </w:rPr>
        <w:t>2</w:t>
      </w:r>
      <w:r>
        <w:rPr>
          <w:sz w:val="24"/>
        </w:rPr>
        <w:t>S最大落地浓度分别为</w:t>
      </w:r>
      <w:r>
        <w:rPr>
          <w:rFonts w:hint="eastAsia"/>
          <w:sz w:val="24"/>
        </w:rPr>
        <w:t>0.000435</w:t>
      </w:r>
      <w:r>
        <w:rPr>
          <w:sz w:val="24"/>
        </w:rPr>
        <w:t>mg/m</w:t>
      </w:r>
      <w:r>
        <w:rPr>
          <w:sz w:val="24"/>
          <w:vertAlign w:val="superscript"/>
        </w:rPr>
        <w:t>3</w:t>
      </w:r>
      <w:r>
        <w:rPr>
          <w:sz w:val="24"/>
        </w:rPr>
        <w:t>、</w:t>
      </w:r>
      <w:r>
        <w:rPr>
          <w:rFonts w:hint="eastAsia"/>
          <w:sz w:val="24"/>
        </w:rPr>
        <w:t>2.51E-05</w:t>
      </w:r>
      <w:r>
        <w:rPr>
          <w:sz w:val="24"/>
        </w:rPr>
        <w:t>mg/m</w:t>
      </w:r>
      <w:r>
        <w:rPr>
          <w:sz w:val="24"/>
          <w:vertAlign w:val="superscript"/>
        </w:rPr>
        <w:t>3</w:t>
      </w:r>
      <w:r>
        <w:rPr>
          <w:sz w:val="24"/>
        </w:rPr>
        <w:t>，占标率分别为</w:t>
      </w:r>
      <w:r>
        <w:rPr>
          <w:rFonts w:hint="eastAsia"/>
          <w:sz w:val="24"/>
        </w:rPr>
        <w:t>0.22</w:t>
      </w:r>
      <w:r>
        <w:rPr>
          <w:sz w:val="24"/>
        </w:rPr>
        <w:t>%、</w:t>
      </w:r>
      <w:r>
        <w:rPr>
          <w:rFonts w:hint="eastAsia"/>
          <w:sz w:val="24"/>
        </w:rPr>
        <w:t>0.25</w:t>
      </w:r>
      <w:r>
        <w:rPr>
          <w:sz w:val="24"/>
        </w:rPr>
        <w:t>%，均小于10%，最大落地浓度在厂区周围</w:t>
      </w:r>
      <w:r>
        <w:rPr>
          <w:rFonts w:hint="eastAsia"/>
          <w:sz w:val="24"/>
        </w:rPr>
        <w:t>81</w:t>
      </w:r>
      <w:r>
        <w:rPr>
          <w:sz w:val="24"/>
        </w:rPr>
        <w:t>m（位于污染源下风向</w:t>
      </w:r>
      <w:r>
        <w:rPr>
          <w:rFonts w:hint="eastAsia"/>
          <w:sz w:val="24"/>
        </w:rPr>
        <w:t>81</w:t>
      </w:r>
      <w:r>
        <w:rPr>
          <w:sz w:val="24"/>
        </w:rPr>
        <w:t>m），且影响程度很小。且下风向</w:t>
      </w:r>
      <w:r>
        <w:rPr>
          <w:rFonts w:hint="eastAsia"/>
          <w:sz w:val="24"/>
        </w:rPr>
        <w:t>81</w:t>
      </w:r>
      <w:r>
        <w:rPr>
          <w:sz w:val="24"/>
        </w:rPr>
        <w:t>m位于渭化集团厂区内，因此恶臭气体不会对周围环境造成不利影响。</w:t>
      </w:r>
    </w:p>
    <w:p>
      <w:pPr>
        <w:spacing w:line="360" w:lineRule="auto"/>
        <w:ind w:firstLine="480" w:firstLineChars="200"/>
        <w:rPr>
          <w:sz w:val="24"/>
        </w:rPr>
      </w:pPr>
      <w:r>
        <w:rPr>
          <w:sz w:val="24"/>
        </w:rPr>
        <w:t>根据《制定地方大气污染物排放标准的技术方法》（GB/T3840-91）中卫生防护距离的制定方法，本项目排放的恶臭气体均为有组织排放，没有无组织排放源，因此工程不需计算卫生防护距离。</w:t>
      </w:r>
    </w:p>
    <w:p>
      <w:pPr>
        <w:spacing w:line="360" w:lineRule="auto"/>
        <w:ind w:firstLine="480" w:firstLineChars="200"/>
        <w:rPr>
          <w:sz w:val="24"/>
        </w:rPr>
      </w:pPr>
      <w:r>
        <w:rPr>
          <w:sz w:val="24"/>
        </w:rPr>
        <w:t>考虑到污泥外运会对附近环境敏感点产生影响，另据《城市污水处理工程项目建设标准》建标〔2001〕77号中“厂外居住区与污水厂产生臭气的生产设施的距离，不宜小于50-100米”的要求，</w:t>
      </w:r>
      <w:r>
        <w:rPr>
          <w:rFonts w:hint="eastAsia"/>
          <w:sz w:val="24"/>
        </w:rPr>
        <w:t>本工程建议设置10</w:t>
      </w:r>
      <w:r>
        <w:rPr>
          <w:sz w:val="24"/>
        </w:rPr>
        <w:t>0m</w:t>
      </w:r>
      <w:r>
        <w:rPr>
          <w:rFonts w:hint="eastAsia"/>
          <w:sz w:val="24"/>
        </w:rPr>
        <w:t>的</w:t>
      </w:r>
      <w:r>
        <w:rPr>
          <w:sz w:val="24"/>
        </w:rPr>
        <w:t>卫生防护距离</w:t>
      </w:r>
      <w:r>
        <w:rPr>
          <w:rFonts w:hint="eastAsia"/>
          <w:sz w:val="24"/>
        </w:rPr>
        <w:t>，卫生防护距离是从</w:t>
      </w:r>
      <w:r>
        <w:rPr>
          <w:sz w:val="24"/>
        </w:rPr>
        <w:t>污泥外运</w:t>
      </w:r>
      <w:r>
        <w:rPr>
          <w:rFonts w:hint="eastAsia"/>
          <w:sz w:val="24"/>
        </w:rPr>
        <w:t>处向外</w:t>
      </w:r>
      <w:r>
        <w:rPr>
          <w:sz w:val="24"/>
        </w:rPr>
        <w:t>设置</w:t>
      </w:r>
      <w:r>
        <w:rPr>
          <w:rFonts w:hint="eastAsia"/>
          <w:sz w:val="24"/>
        </w:rPr>
        <w:t>10</w:t>
      </w:r>
      <w:r>
        <w:rPr>
          <w:sz w:val="24"/>
        </w:rPr>
        <w:t>0m</w:t>
      </w:r>
      <w:r>
        <w:rPr>
          <w:rFonts w:hint="eastAsia"/>
          <w:sz w:val="24"/>
        </w:rPr>
        <w:t>。</w:t>
      </w:r>
    </w:p>
    <w:p>
      <w:pPr>
        <w:spacing w:line="360" w:lineRule="auto"/>
        <w:ind w:firstLine="480" w:firstLineChars="200"/>
        <w:rPr>
          <w:sz w:val="24"/>
        </w:rPr>
      </w:pPr>
      <w:r>
        <w:rPr>
          <w:rFonts w:hint="eastAsia"/>
          <w:sz w:val="24"/>
        </w:rPr>
        <w:t>渭化集团现有一期已设置700m的卫生防护距离，具体卫生防护距离是从一期项目向外700m，现有项目具体卫生防护距离包络线图见图2.1-1。根据卫生防护距离包络线，渭化集团北厂界向外580m均在卫生防护距离内，本项目设置的100m的卫生防护距离在现有项目卫生防护距离内，因此，本项目不增设新的卫生防护距离。</w:t>
      </w:r>
    </w:p>
    <w:p>
      <w:pPr>
        <w:spacing w:line="360" w:lineRule="auto"/>
        <w:ind w:firstLine="480" w:firstLineChars="200"/>
        <w:rPr>
          <w:rFonts w:hint="eastAsia" w:ascii="Times New Roman" w:hAnsi="Times New Roman" w:eastAsia="宋体" w:cs="Times New Roman"/>
          <w:sz w:val="24"/>
          <w:lang w:eastAsia="zh-CN"/>
        </w:rPr>
      </w:pPr>
      <w:r>
        <w:rPr>
          <w:rFonts w:ascii="Times New Roman" w:hAnsi="Times New Roman" w:eastAsia="宋体" w:cs="Times New Roman"/>
          <w:sz w:val="24"/>
        </w:rPr>
        <w:t>（2）</w:t>
      </w:r>
      <w:r>
        <w:rPr>
          <w:rFonts w:hint="eastAsia" w:ascii="Times New Roman" w:hAnsi="Times New Roman" w:cs="Times New Roman"/>
          <w:sz w:val="24"/>
          <w:lang w:eastAsia="zh-CN"/>
        </w:rPr>
        <w:t>废水环境</w:t>
      </w:r>
      <w:r>
        <w:rPr>
          <w:rFonts w:ascii="Times New Roman" w:hAnsi="Times New Roman" w:eastAsia="宋体" w:cs="Times New Roman"/>
          <w:sz w:val="24"/>
        </w:rPr>
        <w:t>影响</w:t>
      </w:r>
      <w:r>
        <w:rPr>
          <w:rFonts w:hint="eastAsia" w:ascii="Times New Roman" w:hAnsi="Times New Roman" w:cs="Times New Roman"/>
          <w:sz w:val="24"/>
          <w:lang w:eastAsia="zh-CN"/>
        </w:rPr>
        <w:t>分析</w:t>
      </w:r>
    </w:p>
    <w:p>
      <w:pPr>
        <w:spacing w:line="360" w:lineRule="auto"/>
        <w:ind w:firstLine="480" w:firstLineChars="200"/>
        <w:rPr>
          <w:sz w:val="24"/>
        </w:rPr>
      </w:pPr>
      <w:bookmarkStart w:id="128" w:name="_Toc29132"/>
      <w:bookmarkStart w:id="129" w:name="_Toc8265"/>
      <w:bookmarkStart w:id="130" w:name="_Toc16805"/>
      <w:bookmarkStart w:id="131" w:name="_Toc14237"/>
      <w:bookmarkStart w:id="132" w:name="_Toc390365040"/>
      <w:bookmarkStart w:id="133" w:name="_Toc16335"/>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污水排放环境影响评价</w:t>
      </w:r>
    </w:p>
    <w:p>
      <w:pPr>
        <w:spacing w:line="360" w:lineRule="auto"/>
        <w:ind w:firstLine="480" w:firstLineChars="200"/>
        <w:rPr>
          <w:sz w:val="24"/>
        </w:rPr>
      </w:pPr>
      <w:r>
        <w:rPr>
          <w:sz w:val="24"/>
        </w:rPr>
        <w:t>污水处理站针对现有未经处理</w:t>
      </w:r>
      <w:r>
        <w:rPr>
          <w:rFonts w:hint="eastAsia"/>
          <w:sz w:val="24"/>
        </w:rPr>
        <w:t>和增加</w:t>
      </w:r>
      <w:r>
        <w:rPr>
          <w:sz w:val="24"/>
        </w:rPr>
        <w:t>的气化废水，含硫废水、双醋废水</w:t>
      </w:r>
      <w:r>
        <w:rPr>
          <w:rFonts w:hint="eastAsia"/>
          <w:sz w:val="24"/>
        </w:rPr>
        <w:t>并考虑设计余量</w:t>
      </w:r>
      <w:r>
        <w:rPr>
          <w:sz w:val="24"/>
        </w:rPr>
        <w:t>。</w:t>
      </w:r>
      <w:r>
        <w:rPr>
          <w:rFonts w:hint="eastAsia"/>
          <w:sz w:val="24"/>
        </w:rPr>
        <w:t>根据</w:t>
      </w:r>
      <w:r>
        <w:rPr>
          <w:sz w:val="24"/>
        </w:rPr>
        <w:t>本项目产生的污水特征，对含硫废水和气化废水进行混凝沉淀预处理，对双醋废水调节pH值后，在与其他污水进入SBR处理装置。</w:t>
      </w:r>
    </w:p>
    <w:p>
      <w:pPr>
        <w:spacing w:line="360" w:lineRule="auto"/>
        <w:ind w:firstLine="480" w:firstLineChars="200"/>
        <w:rPr>
          <w:sz w:val="24"/>
        </w:rPr>
      </w:pPr>
      <w:r>
        <w:rPr>
          <w:sz w:val="24"/>
        </w:rPr>
        <w:t>根据预测结果，气化废水、含硫废水混凝沉淀处理，双醋废水调节pH后，在与其它废水经过SBR设施处理后，其出水浓度达到（DB61/224-2011）《黄河流域陕西段污水综合排放标准》一级标准，出水中的pH和SS满足（GB8978-1996）《污水综合排放标准》二级标准。</w:t>
      </w:r>
    </w:p>
    <w:p>
      <w:pPr>
        <w:snapToGrid w:val="0"/>
        <w:spacing w:line="360" w:lineRule="auto"/>
        <w:ind w:firstLine="480" w:firstLineChars="200"/>
        <w:jc w:val="left"/>
        <w:rPr>
          <w:sz w:val="24"/>
        </w:rPr>
      </w:pPr>
      <w:r>
        <w:rPr>
          <w:sz w:val="24"/>
        </w:rPr>
        <w:t>甲醇装置产生的含蜡废水、ABC汽提塔高氨氮废水</w:t>
      </w:r>
      <w:r>
        <w:rPr>
          <w:rFonts w:hint="eastAsia"/>
          <w:sz w:val="24"/>
        </w:rPr>
        <w:t>暂且进入现有磨煤装置，制成煤浆后进入气化炉气化过程中，高氨氮废水与煤一起焚烧处理。现有</w:t>
      </w:r>
      <w:r>
        <w:rPr>
          <w:sz w:val="24"/>
        </w:rPr>
        <w:t>甲醇装置产生的含蜡废水、ABC汽提塔高氨氮废</w:t>
      </w:r>
      <w:r>
        <w:rPr>
          <w:rFonts w:hint="eastAsia"/>
          <w:sz w:val="24"/>
        </w:rPr>
        <w:t>水进入磨煤装置，然后雾化焚烧，现有煤气发生炉产生的废气经过脱硫除尘处理后，采用高排气筒排放，根据渭化集团现有例行监测现有废气对周围环境影响不大。</w:t>
      </w:r>
    </w:p>
    <w:p>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中水回用环境影响评价</w:t>
      </w:r>
    </w:p>
    <w:p>
      <w:pPr>
        <w:spacing w:line="360" w:lineRule="auto"/>
        <w:ind w:firstLine="480" w:firstLineChars="200"/>
        <w:rPr>
          <w:sz w:val="24"/>
        </w:rPr>
      </w:pPr>
      <w:r>
        <w:rPr>
          <w:sz w:val="24"/>
        </w:rPr>
        <w:t>中水回用单元水源为现有动力车间222A反洗水(30m</w:t>
      </w:r>
      <w:r>
        <w:rPr>
          <w:sz w:val="24"/>
          <w:vertAlign w:val="superscript"/>
        </w:rPr>
        <w:t>3</w:t>
      </w:r>
      <w:r>
        <w:rPr>
          <w:sz w:val="24"/>
        </w:rPr>
        <w:t>/h)、供排水车间超滤反洗水(40m</w:t>
      </w:r>
      <w:r>
        <w:rPr>
          <w:sz w:val="24"/>
          <w:vertAlign w:val="superscript"/>
        </w:rPr>
        <w:t>3</w:t>
      </w:r>
      <w:r>
        <w:rPr>
          <w:sz w:val="24"/>
        </w:rPr>
        <w:t>/h)、循环水排水(50m</w:t>
      </w:r>
      <w:r>
        <w:rPr>
          <w:sz w:val="24"/>
          <w:vertAlign w:val="superscript"/>
        </w:rPr>
        <w:t>3</w:t>
      </w:r>
      <w:r>
        <w:rPr>
          <w:sz w:val="24"/>
        </w:rPr>
        <w:t>/h)、斜管/虹吸滤池排水、斜管沉淀池/D型滤池排水(30m</w:t>
      </w:r>
      <w:r>
        <w:rPr>
          <w:sz w:val="24"/>
          <w:vertAlign w:val="superscript"/>
        </w:rPr>
        <w:t>3</w:t>
      </w:r>
      <w:r>
        <w:rPr>
          <w:sz w:val="24"/>
        </w:rPr>
        <w:t>/h)，共计150 m</w:t>
      </w:r>
      <w:r>
        <w:rPr>
          <w:sz w:val="24"/>
          <w:vertAlign w:val="superscript"/>
        </w:rPr>
        <w:t>3</w:t>
      </w:r>
      <w:r>
        <w:rPr>
          <w:sz w:val="24"/>
        </w:rPr>
        <w:t>/h，水源为现有工艺及设备产生的清净下水，水质相对清洁，主要污染物为SS和氯离子</w:t>
      </w:r>
      <w:r>
        <w:rPr>
          <w:rFonts w:hint="eastAsia"/>
          <w:sz w:val="24"/>
        </w:rPr>
        <w:t>。</w:t>
      </w:r>
    </w:p>
    <w:p>
      <w:pPr>
        <w:pStyle w:val="5"/>
        <w:ind w:firstLine="480" w:firstLineChars="200"/>
        <w:rPr>
          <w:b w:val="0"/>
          <w:bCs w:val="0"/>
          <w:kern w:val="0"/>
          <w:sz w:val="24"/>
        </w:rPr>
      </w:pPr>
      <w:r>
        <w:rPr>
          <w:b w:val="0"/>
          <w:bCs w:val="0"/>
          <w:kern w:val="0"/>
          <w:sz w:val="24"/>
        </w:rPr>
        <w:t>中水回用装置年外排水量为360000t/a，中水回用装置年外排废水水质相对较清洁，经过收集后排入厂区污水管网。对周围环境影响不大。</w:t>
      </w:r>
    </w:p>
    <w:p>
      <w:pPr>
        <w:pStyle w:val="60"/>
        <w:numPr>
          <w:ilvl w:val="0"/>
          <w:numId w:val="0"/>
        </w:numPr>
        <w:spacing w:line="360" w:lineRule="auto"/>
        <w:ind w:left="480" w:leftChars="0"/>
        <w:rPr>
          <w:sz w:val="24"/>
        </w:rPr>
      </w:pPr>
      <w:r>
        <w:rPr>
          <w:rFonts w:hint="eastAsia"/>
          <w:sz w:val="24"/>
          <w:lang w:eastAsia="zh-CN"/>
        </w:rPr>
        <w:t>（</w:t>
      </w:r>
      <w:r>
        <w:rPr>
          <w:rFonts w:hint="eastAsia"/>
          <w:sz w:val="24"/>
          <w:lang w:val="en-US" w:eastAsia="zh-CN"/>
        </w:rPr>
        <w:t>3</w:t>
      </w:r>
      <w:r>
        <w:rPr>
          <w:rFonts w:hint="eastAsia"/>
          <w:sz w:val="24"/>
          <w:lang w:eastAsia="zh-CN"/>
        </w:rPr>
        <w:t>）</w:t>
      </w:r>
      <w:r>
        <w:rPr>
          <w:sz w:val="24"/>
        </w:rPr>
        <w:t>地下水环境影响分析</w:t>
      </w:r>
    </w:p>
    <w:p>
      <w:pPr>
        <w:spacing w:line="360" w:lineRule="auto"/>
        <w:ind w:firstLine="480" w:firstLineChars="200"/>
      </w:pPr>
      <w:r>
        <w:rPr>
          <w:sz w:val="24"/>
        </w:rPr>
        <w:t>项目正常运行期间，工程废水的主要污染指标为COD、氨氮等，经污水处理站处理达到（DB61/224-2011）《黄河流域陕西段污水综合排放标准》一级标准</w:t>
      </w:r>
      <w:r>
        <w:rPr>
          <w:rFonts w:hint="eastAsia"/>
          <w:sz w:val="24"/>
        </w:rPr>
        <w:t>和</w:t>
      </w:r>
      <w:r>
        <w:rPr>
          <w:sz w:val="24"/>
        </w:rPr>
        <w:t>（GB8978-1996）《污水综合排放标准》二级标准后，排入渭南市高新区污水处理厂。</w:t>
      </w:r>
      <w:r>
        <w:rPr>
          <w:rFonts w:hint="eastAsia"/>
          <w:sz w:val="24"/>
        </w:rPr>
        <w:t>厂区污水管网采用地上管廊形式，</w:t>
      </w:r>
      <w:r>
        <w:rPr>
          <w:sz w:val="24"/>
        </w:rPr>
        <w:t>厂区内污水处理站地面进行防渗，</w:t>
      </w:r>
      <w:r>
        <w:rPr>
          <w:rFonts w:hint="eastAsia"/>
          <w:sz w:val="24"/>
          <w:lang w:val="en-US" w:eastAsia="zh-CN"/>
        </w:rPr>
        <w:t xml:space="preserve">  </w:t>
      </w:r>
      <w:r>
        <w:rPr>
          <w:sz w:val="24"/>
        </w:rPr>
        <w:t>因此，正常情况下，本项目对地下水环境影响较小</w:t>
      </w:r>
      <w:r>
        <w:rPr>
          <w:rFonts w:hint="eastAsia"/>
          <w:sz w:val="24"/>
        </w:rPr>
        <w:t>。</w:t>
      </w:r>
    </w:p>
    <w:p>
      <w:pPr>
        <w:pStyle w:val="5"/>
        <w:rPr>
          <w:rFonts w:ascii="Times New Roman" w:hAnsi="Times New Roman" w:cs="Times New Roman"/>
          <w:b w:val="0"/>
          <w:bCs w:val="0"/>
          <w:sz w:val="24"/>
          <w:szCs w:val="24"/>
        </w:rPr>
      </w:pPr>
      <w:r>
        <w:rPr>
          <w:rFonts w:ascii="Times New Roman" w:hAnsi="Times New Roman" w:cs="Times New Roman"/>
          <w:b w:val="0"/>
          <w:bCs w:val="0"/>
          <w:sz w:val="24"/>
          <w:szCs w:val="24"/>
        </w:rPr>
        <w:t>五、</w:t>
      </w:r>
      <w:bookmarkEnd w:id="104"/>
      <w:bookmarkEnd w:id="105"/>
      <w:bookmarkEnd w:id="106"/>
      <w:bookmarkEnd w:id="107"/>
      <w:bookmarkEnd w:id="108"/>
      <w:bookmarkEnd w:id="109"/>
      <w:bookmarkEnd w:id="110"/>
      <w:bookmarkEnd w:id="111"/>
      <w:bookmarkEnd w:id="128"/>
      <w:bookmarkEnd w:id="129"/>
      <w:bookmarkEnd w:id="130"/>
      <w:bookmarkEnd w:id="131"/>
      <w:bookmarkEnd w:id="132"/>
      <w:bookmarkEnd w:id="133"/>
      <w:r>
        <w:rPr>
          <w:rFonts w:ascii="Times New Roman" w:hAnsi="Times New Roman" w:eastAsia="宋体" w:cs="Times New Roman"/>
          <w:b w:val="0"/>
          <w:bCs w:val="0"/>
          <w:sz w:val="24"/>
        </w:rPr>
        <w:t>污染防治措施</w:t>
      </w:r>
    </w:p>
    <w:p>
      <w:pPr>
        <w:pStyle w:val="19"/>
        <w:spacing w:after="0" w:line="348" w:lineRule="auto"/>
        <w:ind w:left="0" w:leftChars="0" w:firstLine="482"/>
        <w:rPr>
          <w:rFonts w:hint="eastAsia" w:eastAsia="宋体"/>
          <w:sz w:val="24"/>
          <w:szCs w:val="24"/>
          <w:lang w:val="en-US" w:eastAsia="zh-CN"/>
        </w:rPr>
      </w:pPr>
      <w:r>
        <w:rPr>
          <w:rFonts w:hint="eastAsia"/>
          <w:sz w:val="24"/>
          <w:szCs w:val="24"/>
          <w:lang w:val="en-US" w:eastAsia="zh-CN"/>
        </w:rPr>
        <w:t>1、废气污染防治措施</w:t>
      </w:r>
    </w:p>
    <w:p>
      <w:pPr>
        <w:pStyle w:val="19"/>
        <w:spacing w:after="0" w:line="348" w:lineRule="auto"/>
        <w:ind w:left="0" w:leftChars="0" w:firstLine="482"/>
        <w:rPr>
          <w:sz w:val="24"/>
          <w:szCs w:val="24"/>
        </w:rPr>
      </w:pPr>
      <w:r>
        <w:rPr>
          <w:sz w:val="24"/>
          <w:szCs w:val="24"/>
        </w:rPr>
        <w:t>该工程产生的空气污染物主要是恶臭。</w:t>
      </w:r>
    </w:p>
    <w:p>
      <w:pPr>
        <w:numPr>
          <w:ilvl w:val="0"/>
          <w:numId w:val="0"/>
        </w:numPr>
        <w:spacing w:line="360" w:lineRule="auto"/>
        <w:ind w:firstLine="480" w:firstLineChars="200"/>
        <w:rPr>
          <w:sz w:val="24"/>
        </w:rPr>
      </w:pPr>
      <w:bookmarkStart w:id="134" w:name="_Toc195892982"/>
      <w:bookmarkStart w:id="135" w:name="_Toc232742894"/>
      <w:bookmarkStart w:id="136" w:name="_Toc250985224"/>
      <w:bookmarkStart w:id="137" w:name="_Toc304968828"/>
      <w:bookmarkStart w:id="138" w:name="_Toc24096"/>
      <w:bookmarkStart w:id="139" w:name="_Toc288636106"/>
      <w:bookmarkStart w:id="140" w:name="_Toc21097"/>
      <w:bookmarkStart w:id="141" w:name="_Toc9805"/>
      <w:bookmarkStart w:id="142" w:name="_Toc234584413"/>
      <w:bookmarkStart w:id="143" w:name="_Toc24866"/>
      <w:bookmarkStart w:id="144" w:name="_Toc390365044"/>
      <w:bookmarkStart w:id="145" w:name="_Toc7701"/>
      <w:bookmarkStart w:id="146" w:name="_Toc90400155"/>
      <w:bookmarkStart w:id="147" w:name="_Toc86738538"/>
      <w:bookmarkStart w:id="148" w:name="_Toc104287126"/>
      <w:bookmarkStart w:id="149" w:name="_Toc141977647"/>
      <w:bookmarkStart w:id="150" w:name="_Toc90226114"/>
      <w:bookmarkStart w:id="151" w:name="_Toc208432980"/>
      <w:bookmarkStart w:id="152" w:name="_Toc104287125"/>
      <w:bookmarkStart w:id="153" w:name="_Toc234584415"/>
      <w:bookmarkStart w:id="154" w:name="_Toc232742896"/>
      <w:bookmarkStart w:id="155" w:name="_Toc195892984"/>
      <w:bookmarkStart w:id="156" w:name="_Toc175718867"/>
      <w:bookmarkStart w:id="157" w:name="_Toc141977646"/>
      <w:r>
        <w:rPr>
          <w:rFonts w:hint="eastAsia"/>
          <w:sz w:val="24"/>
          <w:lang w:eastAsia="zh-CN"/>
        </w:rPr>
        <w:t>（</w:t>
      </w:r>
      <w:r>
        <w:rPr>
          <w:rFonts w:hint="eastAsia"/>
          <w:sz w:val="24"/>
          <w:lang w:val="en-US" w:eastAsia="zh-CN"/>
        </w:rPr>
        <w:t>1</w:t>
      </w:r>
      <w:r>
        <w:rPr>
          <w:rFonts w:hint="eastAsia"/>
          <w:sz w:val="24"/>
          <w:lang w:eastAsia="zh-CN"/>
        </w:rPr>
        <w:t>）</w:t>
      </w:r>
      <w:r>
        <w:rPr>
          <w:sz w:val="24"/>
        </w:rPr>
        <w:t>由于本项目北侧距离敏感区较近，因此，针对本项目的气化废水预处理区（混凝反应池）、生物反应中的SBR反应池和污泥处理部分（浓缩池、储泥池和脱水间等）等有恶臭气体排出的构建筑物均进行加盖密封，臭气收集后，环评要求设置生物除臭单元，对恶臭进行进一步处理后采用排气筒排放。</w:t>
      </w:r>
    </w:p>
    <w:p>
      <w:pPr>
        <w:spacing w:line="360" w:lineRule="auto"/>
        <w:ind w:firstLine="420" w:firstLineChars="200"/>
        <w:rPr>
          <w:rFonts w:hint="default" w:ascii="Times New Roman" w:hAnsi="Times New Roman" w:cs="Times New Roman"/>
          <w:sz w:val="24"/>
        </w:rPr>
      </w:pPr>
      <w:r>
        <w:rPr>
          <w:rFonts w:hint="default" w:ascii="Times New Roman" w:hAnsi="Times New Roman" w:cs="Times New Roman"/>
          <w:lang w:val="en-US" w:eastAsia="zh-CN"/>
        </w:rPr>
        <w:t xml:space="preserve"> </w:t>
      </w:r>
      <w:r>
        <w:rPr>
          <w:rFonts w:hint="default" w:ascii="Times New Roman" w:hAnsi="Times New Roman" w:cs="Times New Roman"/>
          <w:sz w:val="24"/>
        </w:rPr>
        <w:t>（</w:t>
      </w:r>
      <w:r>
        <w:rPr>
          <w:rFonts w:hint="default" w:ascii="Times New Roman" w:hAnsi="Times New Roman" w:cs="Times New Roman"/>
          <w:sz w:val="24"/>
          <w:lang w:val="en-US" w:eastAsia="zh-CN"/>
        </w:rPr>
        <w:t>2</w:t>
      </w:r>
      <w:r>
        <w:rPr>
          <w:rFonts w:hint="default" w:ascii="Times New Roman" w:hAnsi="Times New Roman" w:cs="Times New Roman"/>
          <w:sz w:val="24"/>
        </w:rPr>
        <w:t>）密封收集</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污水处理设施和中水回用处理设置全部放置在室内，顶部设置集气罩，根据实际情况，采用玻璃钢集气罩，在保证操作人员健康和安全的前提下尽量减少通风量。经过收集的恶臭气体由通风机输送至恶臭处理单元。</w:t>
      </w:r>
    </w:p>
    <w:p>
      <w:pPr>
        <w:spacing w:line="360" w:lineRule="auto"/>
        <w:ind w:firstLine="480" w:firstLineChars="200"/>
        <w:rPr>
          <w:sz w:val="24"/>
        </w:rPr>
      </w:pPr>
      <w:r>
        <w:rPr>
          <w:rFonts w:hint="default" w:ascii="Times New Roman" w:hAnsi="Times New Roman" w:cs="Times New Roman"/>
          <w:sz w:val="24"/>
        </w:rPr>
        <w:t>（</w:t>
      </w:r>
      <w:r>
        <w:rPr>
          <w:rFonts w:hint="default" w:ascii="Times New Roman" w:hAnsi="Times New Roman" w:cs="Times New Roman"/>
          <w:sz w:val="24"/>
          <w:lang w:val="en-US" w:eastAsia="zh-CN"/>
        </w:rPr>
        <w:t>3</w:t>
      </w:r>
      <w:r>
        <w:rPr>
          <w:rFonts w:hint="default" w:ascii="Times New Roman" w:hAnsi="Times New Roman" w:cs="Times New Roman"/>
          <w:sz w:val="24"/>
        </w:rPr>
        <w:t xml:space="preserve"> 加强管理</w:t>
      </w:r>
    </w:p>
    <w:p>
      <w:pPr>
        <w:pStyle w:val="19"/>
        <w:spacing w:after="0" w:line="360" w:lineRule="auto"/>
        <w:ind w:left="0" w:leftChars="0" w:firstLine="480"/>
        <w:rPr>
          <w:sz w:val="24"/>
          <w:szCs w:val="24"/>
        </w:rPr>
      </w:pPr>
      <w:r>
        <w:rPr>
          <w:sz w:val="24"/>
          <w:szCs w:val="24"/>
        </w:rPr>
        <w:t>污泥脱水后尽快外运出厂，对场内临时堆场要用氯水或漂白粉液冲洗和喷洒。运送污泥的车辆在驶离厂区前要做好消毒处理。在各种池体停产修理时，池底积泥会裸露出来散发恶臭，应采取及时清除积泥的措施来防止恶臭的影响，加强日常环境监测。</w:t>
      </w:r>
    </w:p>
    <w:p>
      <w:pPr>
        <w:pStyle w:val="19"/>
        <w:numPr>
          <w:ilvl w:val="0"/>
          <w:numId w:val="5"/>
        </w:numPr>
        <w:spacing w:after="0" w:line="360" w:lineRule="auto"/>
        <w:ind w:left="0" w:leftChars="0" w:firstLine="480"/>
        <w:rPr>
          <w:rFonts w:hint="eastAsia"/>
          <w:sz w:val="24"/>
          <w:szCs w:val="24"/>
          <w:lang w:val="en-US" w:eastAsia="zh-CN"/>
        </w:rPr>
      </w:pPr>
      <w:r>
        <w:rPr>
          <w:rFonts w:hint="eastAsia"/>
          <w:sz w:val="24"/>
          <w:szCs w:val="24"/>
          <w:lang w:val="en-US" w:eastAsia="zh-CN"/>
        </w:rPr>
        <w:t>地下水污染防治措施</w:t>
      </w:r>
    </w:p>
    <w:p>
      <w:pPr>
        <w:pStyle w:val="19"/>
        <w:numPr>
          <w:ilvl w:val="0"/>
          <w:numId w:val="0"/>
        </w:numPr>
        <w:spacing w:after="0" w:line="360" w:lineRule="auto"/>
        <w:ind w:left="480" w:leftChars="0"/>
        <w:rPr>
          <w:rFonts w:hint="eastAsia"/>
          <w:sz w:val="24"/>
          <w:szCs w:val="24"/>
          <w:lang w:val="en-US" w:eastAsia="zh-CN"/>
        </w:rPr>
      </w:pPr>
      <w:r>
        <w:rPr>
          <w:rFonts w:hint="eastAsia"/>
          <w:sz w:val="24"/>
          <w:szCs w:val="24"/>
          <w:lang w:val="en-US" w:eastAsia="zh-CN"/>
        </w:rPr>
        <w:t>（1）源头控制措施</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80" w:firstLineChars="200"/>
        <w:textAlignment w:val="auto"/>
        <w:rPr>
          <w:rFonts w:hint="eastAsia"/>
          <w:sz w:val="24"/>
          <w:szCs w:val="24"/>
          <w:lang w:val="en-US" w:eastAsia="zh-CN"/>
        </w:rPr>
      </w:pPr>
      <w:r>
        <w:rPr>
          <w:rFonts w:hint="eastAsia"/>
          <w:sz w:val="24"/>
          <w:szCs w:val="24"/>
          <w:lang w:val="en-US" w:eastAsia="zh-CN"/>
        </w:rPr>
        <w:t>本工程选择先进、成熟、可靠的污水处理技术，对处理后的污水排入市政污水管网，并严格按照国家相关规范要求，对工艺、管道、设备、污水储存及处理构筑物采取相应的措施，以防止和降低污染物的跑、冒、滴、漏，将污染物泄漏的环境风险事故降到最低程度。</w:t>
      </w:r>
    </w:p>
    <w:p>
      <w:pPr>
        <w:pStyle w:val="6"/>
        <w:spacing w:before="0" w:after="0" w:line="360" w:lineRule="auto"/>
        <w:ind w:firstLine="480" w:firstLineChars="200"/>
        <w:rPr>
          <w:sz w:val="24"/>
          <w:szCs w:val="24"/>
        </w:rPr>
      </w:pPr>
      <w:r>
        <w:rPr>
          <w:rFonts w:hint="eastAsia"/>
          <w:b w:val="0"/>
          <w:bCs w:val="0"/>
          <w:sz w:val="24"/>
          <w:szCs w:val="24"/>
          <w:lang w:val="en-US" w:eastAsia="zh-CN"/>
        </w:rPr>
        <w:t>（2）</w:t>
      </w:r>
      <w:r>
        <w:rPr>
          <w:b w:val="0"/>
          <w:bCs w:val="0"/>
          <w:sz w:val="24"/>
          <w:szCs w:val="24"/>
        </w:rPr>
        <w:t>分区防治措施</w:t>
      </w:r>
    </w:p>
    <w:p>
      <w:pPr>
        <w:autoSpaceDE w:val="0"/>
        <w:autoSpaceDN w:val="0"/>
        <w:adjustRightInd w:val="0"/>
        <w:spacing w:line="360" w:lineRule="auto"/>
        <w:ind w:firstLine="482"/>
        <w:jc w:val="left"/>
        <w:rPr>
          <w:kern w:val="0"/>
          <w:sz w:val="24"/>
        </w:rPr>
      </w:pPr>
      <w:r>
        <w:rPr>
          <w:kern w:val="0"/>
          <w:sz w:val="24"/>
        </w:rPr>
        <w:t>对厂区可能泄漏污染物的污染区地面进行防渗设计，及时地将泄漏的污染物进行收集处理，以有效防止洒落地面的污染物渗入地下。</w:t>
      </w:r>
    </w:p>
    <w:p>
      <w:pPr>
        <w:autoSpaceDE w:val="0"/>
        <w:autoSpaceDN w:val="0"/>
        <w:adjustRightInd w:val="0"/>
        <w:spacing w:line="360" w:lineRule="auto"/>
        <w:ind w:firstLine="482"/>
        <w:jc w:val="left"/>
        <w:rPr>
          <w:kern w:val="0"/>
          <w:sz w:val="24"/>
        </w:rPr>
      </w:pPr>
      <w:r>
        <w:rPr>
          <w:kern w:val="0"/>
          <w:sz w:val="24"/>
        </w:rPr>
        <w:t>跟据厂区各生产处理功能单位可能泄漏至地面区域的污染物性质和生产单元的构筑方式，将整个污水处理装置区划分为重点污染防治区。</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80" w:firstLineChars="200"/>
        <w:textAlignment w:val="auto"/>
        <w:rPr>
          <w:rFonts w:hint="eastAsia"/>
          <w:sz w:val="24"/>
          <w:szCs w:val="24"/>
          <w:lang w:val="en-US" w:eastAsia="zh-CN"/>
        </w:rPr>
      </w:pPr>
      <w:r>
        <w:rPr>
          <w:kern w:val="0"/>
          <w:sz w:val="24"/>
        </w:rPr>
        <w:t>重点污染防治区可参照《危险废物安全填埋处置工程建设技术要求》（国家环保总局2004.4.30颁布试行）、《危险废物填埋场污染控制标准》（GB18598-2001）进行防渗设计。</w:t>
      </w:r>
    </w:p>
    <w:p>
      <w:pPr>
        <w:pStyle w:val="19"/>
        <w:numPr>
          <w:ilvl w:val="0"/>
          <w:numId w:val="0"/>
        </w:numPr>
        <w:spacing w:after="0" w:line="360" w:lineRule="auto"/>
        <w:ind w:left="480" w:leftChars="0"/>
        <w:rPr>
          <w:rFonts w:hint="eastAsia"/>
          <w:sz w:val="24"/>
          <w:szCs w:val="24"/>
          <w:lang w:val="en-US" w:eastAsia="zh-CN"/>
        </w:rPr>
      </w:pPr>
    </w:p>
    <w:p>
      <w:pPr>
        <w:pStyle w:val="5"/>
        <w:rPr>
          <w:rFonts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六</w:t>
      </w:r>
      <w:r>
        <w:rPr>
          <w:rFonts w:ascii="Times New Roman" w:hAnsi="Times New Roman" w:cs="Times New Roman"/>
          <w:b w:val="0"/>
          <w:bCs w:val="0"/>
          <w:sz w:val="24"/>
          <w:szCs w:val="24"/>
        </w:rPr>
        <w:t>、公众参与调查</w:t>
      </w:r>
      <w:bookmarkEnd w:id="134"/>
      <w:bookmarkEnd w:id="135"/>
      <w:bookmarkEnd w:id="136"/>
      <w:bookmarkEnd w:id="137"/>
      <w:bookmarkEnd w:id="138"/>
      <w:bookmarkEnd w:id="139"/>
      <w:bookmarkEnd w:id="140"/>
      <w:bookmarkEnd w:id="141"/>
      <w:bookmarkEnd w:id="142"/>
      <w:bookmarkEnd w:id="143"/>
      <w:bookmarkEnd w:id="144"/>
      <w:bookmarkEnd w:id="145"/>
    </w:p>
    <w:bookmarkEnd w:id="146"/>
    <w:bookmarkEnd w:id="147"/>
    <w:bookmarkEnd w:id="148"/>
    <w:bookmarkEnd w:id="149"/>
    <w:bookmarkEnd w:id="150"/>
    <w:bookmarkEnd w:id="151"/>
    <w:bookmarkEnd w:id="152"/>
    <w:bookmarkEnd w:id="153"/>
    <w:bookmarkEnd w:id="154"/>
    <w:bookmarkEnd w:id="155"/>
    <w:bookmarkEnd w:id="156"/>
    <w:bookmarkEnd w:id="157"/>
    <w:p>
      <w:pPr>
        <w:pStyle w:val="5"/>
        <w:ind w:firstLine="480" w:firstLineChars="200"/>
        <w:rPr>
          <w:b w:val="0"/>
          <w:bCs w:val="0"/>
          <w:sz w:val="24"/>
        </w:rPr>
      </w:pPr>
      <w:bookmarkStart w:id="158" w:name="_Toc7743"/>
      <w:bookmarkStart w:id="159" w:name="_Toc23204"/>
      <w:bookmarkStart w:id="160" w:name="_Toc390365045"/>
      <w:bookmarkStart w:id="161" w:name="_Toc879"/>
      <w:bookmarkStart w:id="162" w:name="_Toc6709"/>
      <w:bookmarkStart w:id="163" w:name="_Toc79"/>
      <w:bookmarkStart w:id="164" w:name="_Toc288636107"/>
      <w:bookmarkStart w:id="165" w:name="_Toc304968829"/>
      <w:bookmarkStart w:id="166" w:name="_Toc169971649"/>
      <w:bookmarkStart w:id="167" w:name="_Toc149318908"/>
      <w:bookmarkStart w:id="168" w:name="_Toc167961216"/>
      <w:bookmarkStart w:id="169" w:name="_Toc234584416"/>
      <w:bookmarkStart w:id="170" w:name="_Toc167641352"/>
      <w:bookmarkStart w:id="171" w:name="_Toc170626890"/>
      <w:bookmarkStart w:id="172" w:name="_Toc250985225"/>
      <w:bookmarkStart w:id="173" w:name="_Toc165877849"/>
      <w:bookmarkStart w:id="174" w:name="_Toc169965248"/>
      <w:r>
        <w:rPr>
          <w:b w:val="0"/>
          <w:bCs w:val="0"/>
          <w:sz w:val="24"/>
        </w:rPr>
        <w:t>公众参与调查结果显示，公众对项目的态度持赞同意见的占95%，无反对意见。公众认为目前现有项目主要的污染是废渣，占68%，其次是噪声，占17%，其余依次是废气和废水。本项目运行后会公众认为新的污染主要也是废渣，占58%，其次噪声占25%，依次是废气和废水。建设单位对公众意见和建议给予了高度重视，承诺严格遵守国家和地方有关法律法规，认真落实本报告书及设计中提出的各项污染防治措施，已出具了对公众意见采纳的承诺函。</w:t>
      </w:r>
    </w:p>
    <w:bookmarkEnd w:id="158"/>
    <w:bookmarkEnd w:id="159"/>
    <w:bookmarkEnd w:id="160"/>
    <w:bookmarkEnd w:id="161"/>
    <w:bookmarkEnd w:id="162"/>
    <w:bookmarkEnd w:id="163"/>
    <w:p>
      <w:pPr>
        <w:pStyle w:val="5"/>
        <w:rPr>
          <w:rFonts w:ascii="Times New Roman" w:hAnsi="Times New Roman" w:cs="Times New Roman"/>
          <w:b w:val="0"/>
          <w:bCs w:val="0"/>
          <w:sz w:val="24"/>
          <w:szCs w:val="24"/>
        </w:rPr>
      </w:pPr>
      <w:bookmarkStart w:id="175" w:name="_Toc27059"/>
      <w:bookmarkStart w:id="176" w:name="_Toc390365047"/>
      <w:bookmarkStart w:id="177" w:name="_Toc2677"/>
      <w:bookmarkStart w:id="178" w:name="_Toc16978"/>
      <w:bookmarkStart w:id="179" w:name="_Toc30484"/>
      <w:bookmarkStart w:id="180" w:name="_Toc19970"/>
      <w:r>
        <w:rPr>
          <w:rFonts w:hint="eastAsia" w:ascii="Times New Roman" w:hAnsi="Times New Roman" w:cs="Times New Roman"/>
          <w:b w:val="0"/>
          <w:bCs w:val="0"/>
          <w:sz w:val="24"/>
          <w:szCs w:val="24"/>
          <w:lang w:eastAsia="zh-CN"/>
        </w:rPr>
        <w:t>七</w:t>
      </w:r>
      <w:r>
        <w:rPr>
          <w:rFonts w:ascii="Times New Roman" w:hAnsi="Times New Roman" w:cs="Times New Roman"/>
          <w:b w:val="0"/>
          <w:bCs w:val="0"/>
          <w:sz w:val="24"/>
          <w:szCs w:val="24"/>
        </w:rPr>
        <w:t>、总结论</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pPr>
        <w:snapToGrid w:val="0"/>
        <w:spacing w:line="360" w:lineRule="auto"/>
        <w:ind w:firstLine="480" w:firstLineChars="200"/>
        <w:rPr>
          <w:sz w:val="24"/>
        </w:rPr>
      </w:pPr>
      <w:bookmarkStart w:id="181" w:name="_Toc304968830"/>
      <w:bookmarkStart w:id="182" w:name="_Toc3474"/>
      <w:bookmarkStart w:id="183" w:name="_Toc288636108"/>
      <w:bookmarkStart w:id="184" w:name="_Toc250985226"/>
      <w:bookmarkStart w:id="185" w:name="_Toc28077"/>
      <w:bookmarkStart w:id="186" w:name="_Toc390365048"/>
      <w:bookmarkStart w:id="187" w:name="_Toc2877"/>
      <w:bookmarkStart w:id="188" w:name="_Toc31182"/>
      <w:bookmarkStart w:id="189" w:name="_Toc26345"/>
      <w:r>
        <w:rPr>
          <w:sz w:val="24"/>
        </w:rPr>
        <w:t>本</w:t>
      </w:r>
      <w:r>
        <w:rPr>
          <w:snapToGrid w:val="0"/>
          <w:kern w:val="0"/>
          <w:sz w:val="24"/>
        </w:rPr>
        <w:t>工程</w:t>
      </w:r>
      <w:r>
        <w:rPr>
          <w:sz w:val="24"/>
        </w:rPr>
        <w:t>属于《产业结构调整指导目录（2011年本）》（2013年修订）中的鼓励类项目，符合国家产业政策。项目选址可行，</w:t>
      </w:r>
      <w:r>
        <w:rPr>
          <w:snapToGrid w:val="0"/>
          <w:kern w:val="0"/>
          <w:sz w:val="24"/>
        </w:rPr>
        <w:t>工程</w:t>
      </w:r>
      <w:r>
        <w:rPr>
          <w:sz w:val="24"/>
        </w:rPr>
        <w:t>采用的污水处理工艺先进、成熟可靠，处理后的水质达到《黄河流域（陕西段）污水综合排放标准》（DB61/224-2011）一级标准及《污水综合排放标准》（</w:t>
      </w:r>
      <w:r>
        <w:rPr>
          <w:bCs/>
          <w:sz w:val="24"/>
        </w:rPr>
        <w:t>GB 8978-1996</w:t>
      </w:r>
      <w:r>
        <w:rPr>
          <w:sz w:val="24"/>
        </w:rPr>
        <w:t>）中二级标准，排入渭南高新区污水处理厂。从环境保护角度来看，本工程建设可行。</w:t>
      </w:r>
    </w:p>
    <w:p>
      <w:pPr>
        <w:pStyle w:val="5"/>
        <w:spacing w:line="360" w:lineRule="auto"/>
        <w:rPr>
          <w:rFonts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八</w:t>
      </w:r>
      <w:r>
        <w:rPr>
          <w:rFonts w:ascii="Times New Roman" w:hAnsi="Times New Roman" w:cs="Times New Roman"/>
          <w:b w:val="0"/>
          <w:bCs w:val="0"/>
          <w:sz w:val="24"/>
          <w:szCs w:val="24"/>
        </w:rPr>
        <w:t>、</w:t>
      </w:r>
      <w:r>
        <w:rPr>
          <w:rFonts w:hint="eastAsia" w:ascii="Times New Roman" w:hAnsi="Times New Roman" w:cs="Times New Roman"/>
          <w:b w:val="0"/>
          <w:bCs w:val="0"/>
          <w:sz w:val="24"/>
          <w:szCs w:val="24"/>
          <w:lang w:eastAsia="zh-CN"/>
        </w:rPr>
        <w:t>要求与</w:t>
      </w:r>
      <w:r>
        <w:rPr>
          <w:rFonts w:ascii="Times New Roman" w:hAnsi="Times New Roman" w:cs="Times New Roman"/>
          <w:b w:val="0"/>
          <w:bCs w:val="0"/>
          <w:sz w:val="24"/>
          <w:szCs w:val="24"/>
        </w:rPr>
        <w:t>建议</w:t>
      </w:r>
      <w:bookmarkEnd w:id="181"/>
      <w:bookmarkEnd w:id="182"/>
      <w:bookmarkEnd w:id="183"/>
      <w:bookmarkEnd w:id="184"/>
      <w:bookmarkEnd w:id="185"/>
      <w:bookmarkEnd w:id="186"/>
      <w:bookmarkEnd w:id="187"/>
      <w:bookmarkEnd w:id="188"/>
      <w:bookmarkEnd w:id="189"/>
    </w:p>
    <w:p>
      <w:pPr>
        <w:spacing w:line="360" w:lineRule="auto"/>
        <w:ind w:firstLine="420" w:firstLineChars="200"/>
        <w:rPr>
          <w:sz w:val="24"/>
        </w:rPr>
      </w:pPr>
      <w:r>
        <w:rPr>
          <w:rFonts w:hint="eastAsia" w:ascii="Times New Roman" w:hAnsi="Times New Roman" w:eastAsia="宋体" w:cs="Times New Roman"/>
          <w:szCs w:val="24"/>
          <w:lang w:val="en-US" w:eastAsia="zh-CN"/>
        </w:rPr>
        <w:t xml:space="preserve"> </w:t>
      </w:r>
      <w:r>
        <w:rPr>
          <w:rFonts w:hint="eastAsia"/>
          <w:sz w:val="24"/>
          <w:lang w:eastAsia="zh-CN"/>
        </w:rPr>
        <w:t>（</w:t>
      </w:r>
      <w:r>
        <w:rPr>
          <w:rFonts w:hint="eastAsia"/>
          <w:sz w:val="24"/>
          <w:lang w:val="en-US" w:eastAsia="zh-CN"/>
        </w:rPr>
        <w:t>1</w:t>
      </w:r>
      <w:r>
        <w:rPr>
          <w:rFonts w:hint="eastAsia"/>
          <w:sz w:val="24"/>
          <w:lang w:eastAsia="zh-CN"/>
        </w:rPr>
        <w:t>）</w:t>
      </w:r>
      <w:r>
        <w:rPr>
          <w:kern w:val="0"/>
          <w:sz w:val="24"/>
        </w:rPr>
        <w:t>建立完善的运行机制、规范内部管理，提高人员素质、规章制度</w:t>
      </w:r>
      <w:r>
        <w:rPr>
          <w:sz w:val="24"/>
        </w:rPr>
        <w:t>；</w:t>
      </w:r>
      <w:r>
        <w:rPr>
          <w:bCs/>
          <w:spacing w:val="5"/>
          <w:sz w:val="24"/>
        </w:rPr>
        <w:t>建立水质分析中心，定期对进、出口水质进行分析，同时加强管理，防止污泥膨胀的发生。</w:t>
      </w:r>
    </w:p>
    <w:p>
      <w:pPr>
        <w:spacing w:line="360" w:lineRule="auto"/>
        <w:ind w:firstLine="480" w:firstLineChars="200"/>
        <w:rPr>
          <w:rFonts w:hint="eastAsia" w:ascii="Times New Roman" w:hAnsi="Times New Roman" w:eastAsia="宋体" w:cs="Times New Roman"/>
          <w:szCs w:val="24"/>
          <w:lang w:val="en-US" w:eastAsia="zh-CN"/>
        </w:rPr>
      </w:pPr>
      <w:r>
        <w:rPr>
          <w:rFonts w:hint="eastAsia" w:ascii="宋体" w:hAnsi="宋体" w:cs="宋体"/>
          <w:sz w:val="24"/>
          <w:lang w:eastAsia="zh-CN"/>
        </w:rPr>
        <w:t>（</w:t>
      </w:r>
      <w:r>
        <w:rPr>
          <w:rFonts w:hint="eastAsia" w:ascii="宋体" w:hAnsi="宋体" w:cs="宋体"/>
          <w:sz w:val="24"/>
          <w:lang w:val="en-US" w:eastAsia="zh-CN"/>
        </w:rPr>
        <w:t>2</w:t>
      </w:r>
      <w:r>
        <w:rPr>
          <w:rFonts w:hint="eastAsia" w:ascii="宋体" w:hAnsi="宋体" w:cs="宋体"/>
          <w:sz w:val="24"/>
          <w:lang w:eastAsia="zh-CN"/>
        </w:rPr>
        <w:t>）</w:t>
      </w:r>
      <w:r>
        <w:rPr>
          <w:bCs/>
          <w:sz w:val="24"/>
        </w:rPr>
        <w:t>根据环境保护和资源综合利用的原则，建议对出水尽可能加以回收利用。并且</w:t>
      </w:r>
      <w:r>
        <w:rPr>
          <w:sz w:val="24"/>
        </w:rPr>
        <w:t>能够将污泥进行资源化利用。</w:t>
      </w:r>
    </w:p>
    <w:p>
      <w:pPr>
        <w:pStyle w:val="5"/>
        <w:rPr>
          <w:rFonts w:ascii="Times New Roman" w:hAnsi="Times New Roman" w:cs="Times New Roman"/>
          <w:sz w:val="24"/>
          <w:szCs w:val="24"/>
        </w:rPr>
      </w:pPr>
      <w:bookmarkStart w:id="190" w:name="_Toc8077"/>
      <w:r>
        <w:rPr>
          <w:rFonts w:ascii="Times New Roman" w:hAnsi="Times New Roman" w:cs="Times New Roman"/>
          <w:sz w:val="24"/>
          <w:szCs w:val="24"/>
        </w:rPr>
        <w:t>5.2</w:t>
      </w:r>
      <w:bookmarkEnd w:id="85"/>
      <w:r>
        <w:rPr>
          <w:rFonts w:ascii="Times New Roman" w:hAnsi="Times New Roman" w:cs="Times New Roman"/>
          <w:sz w:val="24"/>
          <w:szCs w:val="24"/>
        </w:rPr>
        <w:t xml:space="preserve"> 审批部门审批意见</w:t>
      </w:r>
      <w:bookmarkEnd w:id="190"/>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一、项目建设应做好以下工作：</w:t>
      </w:r>
    </w:p>
    <w:p>
      <w:pPr>
        <w:spacing w:line="360" w:lineRule="auto"/>
        <w:ind w:firstLine="480" w:firstLineChars="200"/>
        <w:rPr>
          <w:rFonts w:hint="eastAsia" w:ascii="Times New Roman" w:hAnsi="Times New Roman" w:cs="Times New Roman"/>
          <w:sz w:val="24"/>
          <w:lang w:val="en-US" w:eastAsia="zh-CN"/>
        </w:rPr>
      </w:pPr>
      <w:r>
        <w:rPr>
          <w:rFonts w:ascii="Times New Roman" w:hAnsi="Times New Roman" w:eastAsia="宋体" w:cs="Times New Roman"/>
          <w:sz w:val="24"/>
        </w:rPr>
        <w:t>（一）</w:t>
      </w:r>
      <w:r>
        <w:rPr>
          <w:rFonts w:hint="eastAsia" w:ascii="Times New Roman" w:hAnsi="Times New Roman" w:cs="Times New Roman"/>
          <w:sz w:val="24"/>
          <w:lang w:eastAsia="zh-CN"/>
        </w:rPr>
        <w:t>废水：在进入污水处理站的废水中，气化废水、含硫废水及经过混凝沉淀预处理、双醋废水经过中和池预处理，再与其它废水一同进入</w:t>
      </w:r>
      <w:r>
        <w:rPr>
          <w:rFonts w:hint="eastAsia" w:ascii="Times New Roman" w:hAnsi="Times New Roman" w:cs="Times New Roman"/>
          <w:sz w:val="24"/>
          <w:lang w:val="en-US" w:eastAsia="zh-CN"/>
        </w:rPr>
        <w:t>SBR处理装置。经过处理后的出水水质达到《黄河流域（陕西段）污水综合排放标准》（DB61/224-2011）二级标准及《污水综合排放标准》（GB8978-1996）中三级标准，排入渭南高新区污水处理厂。</w:t>
      </w:r>
    </w:p>
    <w:p>
      <w:pPr>
        <w:pStyle w:val="5"/>
        <w:rPr>
          <w:rFonts w:hint="eastAsia"/>
          <w:lang w:val="en-US" w:eastAsia="zh-CN"/>
        </w:rPr>
      </w:pPr>
      <w:r>
        <w:rPr>
          <w:rFonts w:hint="eastAsia" w:ascii="Times New Roman" w:hAnsi="Times New Roman" w:cs="Times New Roman"/>
          <w:sz w:val="24"/>
          <w:lang w:val="en-US" w:eastAsia="zh-CN"/>
        </w:rPr>
        <w:t xml:space="preserve">   </w:t>
      </w:r>
      <w:r>
        <w:rPr>
          <w:rFonts w:hint="eastAsia" w:ascii="Times New Roman" w:hAnsi="Times New Roman" w:cs="Times New Roman"/>
          <w:b w:val="0"/>
          <w:bCs w:val="0"/>
          <w:sz w:val="24"/>
          <w:lang w:val="en-US" w:eastAsia="zh-CN"/>
        </w:rPr>
        <w:t xml:space="preserve"> 中水回用规模为150m</w:t>
      </w:r>
      <w:r>
        <w:rPr>
          <w:rFonts w:hint="eastAsia" w:ascii="Times New Roman" w:hAnsi="Times New Roman" w:cs="Times New Roman"/>
          <w:b w:val="0"/>
          <w:bCs w:val="0"/>
          <w:sz w:val="24"/>
          <w:vertAlign w:val="superscript"/>
          <w:lang w:val="en-US" w:eastAsia="zh-CN"/>
        </w:rPr>
        <w:t>3</w:t>
      </w:r>
      <w:r>
        <w:rPr>
          <w:rFonts w:hint="eastAsia" w:ascii="Times New Roman" w:hAnsi="Times New Roman" w:cs="Times New Roman"/>
          <w:b w:val="0"/>
          <w:bCs w:val="0"/>
          <w:sz w:val="24"/>
          <w:lang w:val="en-US" w:eastAsia="zh-CN"/>
        </w:rPr>
        <w:t>/h，中水的来源是动力车间222A反洗水、供排水车间超滤反洗水、循环水排水、斜管/虹吸滤池排水、斜管沉淀池/D型滤池排水，经过软化预处理和UF+RO膜技术对中水进行回用处理，经过处理后回用。</w:t>
      </w:r>
    </w:p>
    <w:p>
      <w:pPr>
        <w:spacing w:line="360" w:lineRule="auto"/>
        <w:ind w:firstLine="480" w:firstLineChars="200"/>
        <w:rPr>
          <w:rFonts w:ascii="Times New Roman" w:hAnsi="Times New Roman" w:eastAsia="宋体" w:cs="Times New Roman"/>
          <w:sz w:val="24"/>
          <w:lang w:val="en-US"/>
        </w:rPr>
      </w:pPr>
      <w:r>
        <w:rPr>
          <w:rFonts w:ascii="Times New Roman" w:hAnsi="Times New Roman" w:eastAsia="宋体" w:cs="Times New Roman"/>
          <w:sz w:val="24"/>
        </w:rPr>
        <w:t>（二）</w:t>
      </w:r>
      <w:r>
        <w:rPr>
          <w:rFonts w:hint="eastAsia" w:ascii="Times New Roman" w:hAnsi="Times New Roman" w:cs="Times New Roman"/>
          <w:sz w:val="24"/>
          <w:lang w:eastAsia="zh-CN"/>
        </w:rPr>
        <w:t>废气：根据厂区实际产臭单元，要求设施</w:t>
      </w:r>
      <w:r>
        <w:rPr>
          <w:rFonts w:hint="eastAsia" w:ascii="Times New Roman" w:hAnsi="Times New Roman" w:cs="Times New Roman"/>
          <w:sz w:val="24"/>
          <w:lang w:val="en-US" w:eastAsia="zh-CN"/>
        </w:rPr>
        <w:t>1台生物除臭装置，并设置一根15m高排气筒。针对所有产生恶臭的处理单元，对各处理单元进行封闭处理，对SBR池、污泥浓缩池等有恶臭气体排出的构建筑物进行加盖密封，各个密封构筑物在风机抽吸作用下形成微负压，各个构筑物产生的恶臭气体被引入生物除臭装置进行处理，处理后的废气经15m高排气筒排放，应满足《恶臭污染物排放标准》（GB14554-93）中厂界二级标准和恶臭污染物排放标准值；同时，加强绿化，在厂区的污水、污泥生产区周围设置绿化隔离带，组成防臭的多层隔离带，尽量降低恶臭污染的影响。</w:t>
      </w:r>
    </w:p>
    <w:p>
      <w:pPr>
        <w:spacing w:line="360" w:lineRule="auto"/>
        <w:ind w:firstLine="480" w:firstLineChars="200"/>
        <w:rPr>
          <w:rFonts w:hint="eastAsia" w:ascii="Times New Roman" w:hAnsi="Times New Roman" w:eastAsia="宋体" w:cs="Times New Roman"/>
          <w:sz w:val="24"/>
          <w:lang w:eastAsia="zh-CN"/>
        </w:rPr>
      </w:pPr>
      <w:r>
        <w:rPr>
          <w:rFonts w:ascii="Times New Roman" w:hAnsi="Times New Roman" w:eastAsia="宋体" w:cs="Times New Roman"/>
          <w:sz w:val="24"/>
        </w:rPr>
        <w:t>（三）</w:t>
      </w:r>
      <w:r>
        <w:rPr>
          <w:rFonts w:hint="eastAsia" w:ascii="Times New Roman" w:hAnsi="Times New Roman" w:eastAsia="宋体" w:cs="Times New Roman"/>
          <w:sz w:val="24"/>
          <w:lang w:eastAsia="zh-CN"/>
        </w:rPr>
        <w:t>建立健全施工、运行期环保管理制度，完善环境风险事故应急预案和事故防范措施，并严格落实各项安全与环保措施，防止事故造成的环境污染。</w:t>
      </w:r>
    </w:p>
    <w:p>
      <w:pPr>
        <w:spacing w:line="360" w:lineRule="auto"/>
        <w:ind w:firstLine="482" w:firstLineChars="200"/>
        <w:rPr>
          <w:rFonts w:ascii="Times New Roman" w:hAnsi="Times New Roman" w:eastAsia="宋体" w:cs="Times New Roman"/>
          <w:sz w:val="24"/>
        </w:rPr>
      </w:pPr>
      <w:r>
        <w:rPr>
          <w:rFonts w:ascii="Times New Roman" w:hAnsi="Times New Roman" w:cs="Times New Roman"/>
          <w:b/>
          <w:bCs/>
          <w:sz w:val="24"/>
        </w:rPr>
        <w:br w:type="page"/>
      </w:r>
      <w:r>
        <w:rPr>
          <w:rFonts w:ascii="Times New Roman" w:hAnsi="Times New Roman" w:eastAsia="宋体" w:cs="Times New Roman"/>
          <w:b/>
          <w:bCs/>
          <w:kern w:val="44"/>
          <w:sz w:val="28"/>
          <w:szCs w:val="28"/>
        </w:rPr>
        <w:t>6 验收执行标准</w:t>
      </w:r>
      <w:bookmarkEnd w:id="64"/>
    </w:p>
    <w:p>
      <w:pPr>
        <w:spacing w:line="360" w:lineRule="auto"/>
        <w:ind w:firstLine="460" w:firstLineChars="192"/>
        <w:rPr>
          <w:rFonts w:ascii="Times New Roman" w:hAnsi="Times New Roman" w:cs="Times New Roman"/>
          <w:sz w:val="24"/>
          <w:szCs w:val="22"/>
        </w:rPr>
      </w:pPr>
      <w:r>
        <w:rPr>
          <w:rFonts w:ascii="Times New Roman" w:hAnsi="Times New Roman" w:cs="Times New Roman"/>
          <w:sz w:val="24"/>
        </w:rPr>
        <w:t>根据</w:t>
      </w:r>
      <w:r>
        <w:rPr>
          <w:rFonts w:ascii="Times New Roman" w:hAnsi="Times New Roman" w:cs="Times New Roman"/>
          <w:sz w:val="24"/>
          <w:szCs w:val="22"/>
        </w:rPr>
        <w:t>《渭南高新区渭河洁能有限公司废水处理及中水回用系统扩能改造项目</w:t>
      </w:r>
    </w:p>
    <w:p>
      <w:pPr>
        <w:spacing w:line="360" w:lineRule="auto"/>
        <w:rPr>
          <w:rFonts w:ascii="Times New Roman" w:hAnsi="Times New Roman" w:cs="Times New Roman"/>
          <w:sz w:val="24"/>
        </w:rPr>
      </w:pPr>
      <w:r>
        <w:rPr>
          <w:rFonts w:ascii="Times New Roman" w:hAnsi="Times New Roman" w:cs="Times New Roman"/>
          <w:sz w:val="24"/>
          <w:szCs w:val="22"/>
        </w:rPr>
        <w:t>环境影响报告书》（</w:t>
      </w:r>
      <w:r>
        <w:rPr>
          <w:rFonts w:hint="eastAsia" w:ascii="Times New Roman" w:hAnsi="Times New Roman" w:cs="Times New Roman"/>
          <w:sz w:val="24"/>
          <w:szCs w:val="22"/>
          <w:lang w:eastAsia="zh-CN"/>
        </w:rPr>
        <w:t>陕西企科环境技术有限公司</w:t>
      </w:r>
      <w:r>
        <w:rPr>
          <w:rFonts w:ascii="Times New Roman" w:hAnsi="Times New Roman" w:cs="Times New Roman"/>
          <w:sz w:val="24"/>
          <w:szCs w:val="22"/>
        </w:rPr>
        <w:t>，201</w:t>
      </w:r>
      <w:r>
        <w:rPr>
          <w:rFonts w:hint="eastAsia" w:ascii="Times New Roman" w:hAnsi="Times New Roman" w:cs="Times New Roman"/>
          <w:sz w:val="24"/>
          <w:szCs w:val="22"/>
          <w:lang w:val="en-US" w:eastAsia="zh-CN"/>
        </w:rPr>
        <w:t>6</w:t>
      </w:r>
      <w:r>
        <w:rPr>
          <w:rFonts w:ascii="Times New Roman" w:hAnsi="Times New Roman" w:cs="Times New Roman"/>
          <w:sz w:val="24"/>
          <w:szCs w:val="22"/>
        </w:rPr>
        <w:t>.</w:t>
      </w:r>
      <w:r>
        <w:rPr>
          <w:rFonts w:hint="eastAsia" w:ascii="Times New Roman" w:hAnsi="Times New Roman" w:cs="Times New Roman"/>
          <w:sz w:val="24"/>
          <w:szCs w:val="22"/>
          <w:lang w:val="en-US" w:eastAsia="zh-CN"/>
        </w:rPr>
        <w:t>2</w:t>
      </w:r>
      <w:r>
        <w:rPr>
          <w:rFonts w:ascii="Times New Roman" w:hAnsi="Times New Roman" w:cs="Times New Roman"/>
          <w:sz w:val="24"/>
          <w:szCs w:val="22"/>
        </w:rPr>
        <w:t>）、</w:t>
      </w:r>
      <w:r>
        <w:rPr>
          <w:rFonts w:hint="eastAsia" w:ascii="Times New Roman" w:hAnsi="Times New Roman" w:cs="Times New Roman"/>
          <w:sz w:val="24"/>
          <w:lang w:eastAsia="zh-CN"/>
        </w:rPr>
        <w:t>渭南市环境保护局高新区分局</w:t>
      </w:r>
      <w:r>
        <w:rPr>
          <w:rFonts w:ascii="Times New Roman" w:hAnsi="Times New Roman" w:cs="Times New Roman"/>
          <w:sz w:val="24"/>
        </w:rPr>
        <w:t>《</w:t>
      </w:r>
      <w:r>
        <w:rPr>
          <w:rFonts w:hint="eastAsia" w:ascii="Times New Roman" w:hAnsi="Times New Roman" w:cs="Times New Roman"/>
          <w:sz w:val="24"/>
          <w:lang w:eastAsia="zh-CN"/>
        </w:rPr>
        <w:t>关于渭南高新区渭河洁能有限公司废水处理及中水回用系统扩能改造项目环境影响报告书审批意见</w:t>
      </w:r>
      <w:r>
        <w:rPr>
          <w:rFonts w:ascii="Times New Roman" w:hAnsi="Times New Roman" w:cs="Times New Roman"/>
          <w:sz w:val="24"/>
        </w:rPr>
        <w:t>》（</w:t>
      </w:r>
      <w:r>
        <w:rPr>
          <w:rFonts w:hint="eastAsia" w:ascii="Times New Roman" w:hAnsi="Times New Roman" w:cs="Times New Roman"/>
          <w:sz w:val="24"/>
          <w:lang w:eastAsia="zh-CN"/>
        </w:rPr>
        <w:t>渭高环审</w:t>
      </w:r>
      <w:r>
        <w:rPr>
          <w:rFonts w:ascii="Times New Roman" w:hAnsi="Times New Roman" w:cs="Times New Roman"/>
          <w:sz w:val="24"/>
        </w:rPr>
        <w:t>〔201</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cs="Times New Roman"/>
          <w:sz w:val="24"/>
          <w:lang w:val="en-US" w:eastAsia="zh-CN"/>
        </w:rPr>
        <w:t>3</w:t>
      </w:r>
      <w:r>
        <w:rPr>
          <w:rFonts w:ascii="Times New Roman" w:hAnsi="Times New Roman" w:cs="Times New Roman"/>
          <w:sz w:val="24"/>
        </w:rPr>
        <w:t>号）以及</w:t>
      </w:r>
      <w:r>
        <w:rPr>
          <w:rFonts w:ascii="Times New Roman" w:hAnsi="Times New Roman" w:cs="Times New Roman"/>
          <w:sz w:val="24"/>
          <w:szCs w:val="22"/>
        </w:rPr>
        <w:t>项目建设期间新颁布执行的标准，</w:t>
      </w:r>
      <w:r>
        <w:rPr>
          <w:rFonts w:ascii="Times New Roman" w:hAnsi="Times New Roman" w:cs="Times New Roman"/>
          <w:sz w:val="24"/>
        </w:rPr>
        <w:t>本项目竣工环境保护验收执行标准如下。</w:t>
      </w:r>
    </w:p>
    <w:p>
      <w:pPr>
        <w:numPr>
          <w:ilvl w:val="0"/>
          <w:numId w:val="6"/>
        </w:numPr>
        <w:spacing w:line="360" w:lineRule="auto"/>
        <w:ind w:firstLine="480" w:firstLineChars="200"/>
        <w:rPr>
          <w:rFonts w:hint="eastAsia" w:ascii="Times New Roman" w:hAnsi="Times New Roman" w:cs="Times New Roman"/>
          <w:sz w:val="24"/>
          <w:lang w:eastAsia="zh-CN"/>
        </w:rPr>
      </w:pPr>
      <w:r>
        <w:rPr>
          <w:rFonts w:hint="eastAsia" w:ascii="Times New Roman" w:hAnsi="Times New Roman" w:cs="Times New Roman"/>
          <w:sz w:val="24"/>
          <w:lang w:eastAsia="zh-CN"/>
        </w:rPr>
        <w:t>恶臭</w:t>
      </w:r>
      <w:r>
        <w:rPr>
          <w:rFonts w:ascii="Times New Roman" w:hAnsi="Times New Roman" w:cs="Times New Roman"/>
          <w:sz w:val="24"/>
        </w:rPr>
        <w:t>执行</w:t>
      </w:r>
      <w:r>
        <w:rPr>
          <w:rFonts w:hint="eastAsia" w:ascii="Times New Roman" w:hAnsi="Times New Roman" w:cs="Times New Roman"/>
          <w:sz w:val="24"/>
          <w:lang w:val="en-US" w:eastAsia="zh-CN"/>
        </w:rPr>
        <w:t>《恶臭污染物排放标准》（GB14554-93）表2中污染排放限值及表1厂界标准限值要求</w:t>
      </w:r>
      <w:r>
        <w:rPr>
          <w:rFonts w:hint="eastAsia" w:ascii="Times New Roman" w:hAnsi="Times New Roman" w:cs="Times New Roman"/>
          <w:sz w:val="24"/>
          <w:lang w:eastAsia="zh-CN"/>
        </w:rPr>
        <w:t>。</w:t>
      </w:r>
    </w:p>
    <w:p>
      <w:pPr>
        <w:numPr>
          <w:ilvl w:val="0"/>
          <w:numId w:val="6"/>
        </w:numPr>
        <w:spacing w:line="360" w:lineRule="auto"/>
        <w:ind w:firstLine="480" w:firstLineChars="200"/>
        <w:rPr>
          <w:rFonts w:ascii="Times New Roman" w:hAnsi="Times New Roman" w:cs="Times New Roman"/>
          <w:sz w:val="24"/>
        </w:rPr>
      </w:pPr>
      <w:r>
        <w:rPr>
          <w:rFonts w:ascii="Times New Roman" w:hAnsi="Times New Roman" w:cs="Times New Roman"/>
          <w:sz w:val="24"/>
        </w:rPr>
        <w:t>运营期</w:t>
      </w:r>
      <w:r>
        <w:rPr>
          <w:rFonts w:hint="eastAsia" w:ascii="Times New Roman" w:hAnsi="Times New Roman" w:cs="Times New Roman"/>
          <w:sz w:val="24"/>
          <w:lang w:eastAsia="zh-CN"/>
        </w:rPr>
        <w:t>废水排放</w:t>
      </w:r>
      <w:r>
        <w:rPr>
          <w:rFonts w:ascii="Times New Roman" w:hAnsi="Times New Roman" w:cs="Times New Roman"/>
          <w:sz w:val="24"/>
        </w:rPr>
        <w:t>执行</w:t>
      </w:r>
      <w:r>
        <w:rPr>
          <w:rFonts w:hint="eastAsia" w:ascii="Times New Roman" w:hAnsi="Times New Roman" w:cs="Times New Roman"/>
          <w:sz w:val="24"/>
          <w:lang w:val="en-US" w:eastAsia="zh-CN"/>
        </w:rPr>
        <w:t>《黄河流域（陕西段）污水综合排放标准》（DB61/224-2011）二级标准、《污水综合排放标准》（GB8978-1996）中三级标准及《污水排入城镇下水道水质标准》（GB/T31962-2015）中的B等级标准</w:t>
      </w:r>
      <w:r>
        <w:rPr>
          <w:rFonts w:ascii="Times New Roman" w:hAnsi="Times New Roman" w:cs="Times New Roman"/>
          <w:sz w:val="24"/>
        </w:rPr>
        <w:t>；</w:t>
      </w:r>
    </w:p>
    <w:p>
      <w:pPr>
        <w:pStyle w:val="5"/>
        <w:ind w:firstLine="480" w:firstLineChars="200"/>
        <w:rPr>
          <w:rFonts w:hint="eastAsia"/>
          <w:lang w:val="en-US" w:eastAsia="zh-CN"/>
        </w:rPr>
      </w:pPr>
      <w:r>
        <w:rPr>
          <w:rFonts w:hint="eastAsia" w:ascii="宋体" w:hAnsi="宋体" w:eastAsia="宋体" w:cs="宋体"/>
          <w:b w:val="0"/>
          <w:bCs w:val="0"/>
          <w:sz w:val="24"/>
          <w:lang w:val="en-US" w:eastAsia="zh-CN"/>
        </w:rPr>
        <w:t>（3）地下水执行《地下水环境质量标准》（GB/T14848-</w:t>
      </w:r>
      <w:r>
        <w:rPr>
          <w:rFonts w:hint="eastAsia" w:ascii="宋体" w:hAnsi="宋体" w:cs="宋体"/>
          <w:b w:val="0"/>
          <w:bCs w:val="0"/>
          <w:sz w:val="24"/>
          <w:lang w:val="en-US" w:eastAsia="zh-CN"/>
        </w:rPr>
        <w:t>2017</w:t>
      </w:r>
      <w:r>
        <w:rPr>
          <w:rFonts w:hint="eastAsia" w:ascii="宋体" w:hAnsi="宋体" w:eastAsia="宋体" w:cs="宋体"/>
          <w:b w:val="0"/>
          <w:bCs w:val="0"/>
          <w:sz w:val="24"/>
          <w:lang w:val="en-US" w:eastAsia="zh-CN"/>
        </w:rPr>
        <w:t>）中的</w:t>
      </w:r>
      <w:r>
        <w:rPr>
          <w:rFonts w:hint="default" w:ascii="Times New Roman" w:hAnsi="Times New Roman" w:eastAsia="宋体" w:cs="Times New Roman"/>
          <w:b w:val="0"/>
          <w:bCs w:val="0"/>
          <w:sz w:val="24"/>
          <w:lang w:val="en-US" w:eastAsia="zh-CN"/>
        </w:rPr>
        <w:t>III</w:t>
      </w:r>
      <w:r>
        <w:rPr>
          <w:rFonts w:hint="eastAsia" w:ascii="宋体" w:hAnsi="宋体" w:eastAsia="宋体" w:cs="宋体"/>
          <w:b w:val="0"/>
          <w:bCs w:val="0"/>
          <w:sz w:val="24"/>
          <w:lang w:val="en-US" w:eastAsia="zh-CN"/>
        </w:rPr>
        <w:t>类标准</w:t>
      </w:r>
      <w:r>
        <w:rPr>
          <w:rFonts w:hint="eastAsia" w:ascii="宋体" w:hAnsi="宋体" w:cs="宋体"/>
          <w:b w:val="0"/>
          <w:bCs w:val="0"/>
          <w:sz w:val="24"/>
          <w:lang w:val="en-US" w:eastAsia="zh-CN"/>
        </w:rPr>
        <w:t>。</w:t>
      </w:r>
    </w:p>
    <w:p>
      <w:pPr>
        <w:spacing w:line="360" w:lineRule="auto"/>
        <w:ind w:firstLine="360" w:firstLineChars="150"/>
        <w:rPr>
          <w:rFonts w:ascii="Times New Roman" w:hAnsi="Times New Roman" w:cs="Times New Roman"/>
          <w:sz w:val="24"/>
        </w:rPr>
      </w:pPr>
      <w:r>
        <w:rPr>
          <w:rFonts w:ascii="Times New Roman" w:hAnsi="Times New Roman" w:cs="Times New Roman"/>
          <w:sz w:val="24"/>
        </w:rPr>
        <w:t>竣工验收监测评价</w:t>
      </w:r>
      <w:r>
        <w:rPr>
          <w:rFonts w:hint="eastAsia" w:ascii="Times New Roman" w:hAnsi="Times New Roman" w:cs="Times New Roman"/>
          <w:sz w:val="24"/>
          <w:lang w:eastAsia="zh-CN"/>
        </w:rPr>
        <w:t>废气及废水</w:t>
      </w:r>
      <w:r>
        <w:rPr>
          <w:rFonts w:ascii="Times New Roman" w:hAnsi="Times New Roman" w:cs="Times New Roman"/>
          <w:sz w:val="24"/>
        </w:rPr>
        <w:t>执行标准见表6.1-1。</w:t>
      </w: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p>
    <w:p>
      <w:pPr>
        <w:pStyle w:val="11"/>
        <w:spacing w:before="120" w:after="120"/>
        <w:rPr>
          <w:rFonts w:ascii="Times New Roman" w:hAnsi="Times New Roman" w:eastAsia="宋体" w:cs="Times New Roman"/>
          <w:b/>
          <w:szCs w:val="21"/>
        </w:rPr>
      </w:pPr>
      <w:r>
        <w:rPr>
          <w:rFonts w:ascii="Times New Roman" w:hAnsi="Times New Roman" w:eastAsia="宋体" w:cs="Times New Roman"/>
          <w:b/>
          <w:szCs w:val="21"/>
        </w:rPr>
        <w:t xml:space="preserve">表6.1-1    </w:t>
      </w:r>
      <w:r>
        <w:rPr>
          <w:rFonts w:ascii="Times New Roman" w:hAnsi="Times New Roman" w:eastAsia="宋体" w:cs="Times New Roman"/>
          <w:b/>
          <w:color w:val="auto"/>
        </w:rPr>
        <w:t>竣工验收监测评价</w:t>
      </w:r>
      <w:r>
        <w:rPr>
          <w:rFonts w:hint="eastAsia" w:ascii="Times New Roman" w:hAnsi="Times New Roman" w:eastAsia="宋体" w:cs="Times New Roman"/>
          <w:b/>
          <w:color w:val="auto"/>
          <w:lang w:eastAsia="zh-CN"/>
        </w:rPr>
        <w:t>废气及废水</w:t>
      </w:r>
      <w:r>
        <w:rPr>
          <w:rFonts w:ascii="Times New Roman" w:hAnsi="Times New Roman" w:eastAsia="宋体" w:cs="Times New Roman"/>
          <w:b/>
          <w:color w:val="auto"/>
        </w:rPr>
        <w:t>执行标准</w:t>
      </w:r>
      <w:r>
        <w:rPr>
          <w:rFonts w:ascii="Times New Roman" w:hAnsi="Times New Roman" w:eastAsia="宋体" w:cs="Times New Roman"/>
          <w:b/>
          <w:szCs w:val="21"/>
        </w:rPr>
        <w:t xml:space="preserve">  单位：dB（A）</w:t>
      </w:r>
    </w:p>
    <w:bookmarkEnd w:id="65"/>
    <w:bookmarkEnd w:id="66"/>
    <w:bookmarkEnd w:id="67"/>
    <w:tbl>
      <w:tblPr>
        <w:tblStyle w:val="27"/>
        <w:tblW w:w="8529" w:type="dxa"/>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87"/>
        <w:gridCol w:w="2478"/>
        <w:gridCol w:w="1522"/>
        <w:gridCol w:w="1934"/>
        <w:gridCol w:w="915"/>
        <w:gridCol w:w="89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restart"/>
            <w:tcBorders>
              <w:tl2br w:val="nil"/>
              <w:tr2bl w:val="nil"/>
            </w:tcBorders>
            <w:vAlign w:val="center"/>
          </w:tcPr>
          <w:p>
            <w:pPr>
              <w:snapToGrid w:val="0"/>
              <w:jc w:val="center"/>
              <w:rPr>
                <w:rFonts w:hint="eastAsia" w:eastAsia="宋体"/>
                <w:szCs w:val="21"/>
                <w:lang w:eastAsia="zh-CN"/>
              </w:rPr>
            </w:pPr>
            <w:bookmarkStart w:id="191" w:name="_Toc210190253"/>
            <w:bookmarkStart w:id="192" w:name="_Toc206728842"/>
            <w:bookmarkStart w:id="193" w:name="_Toc161134489"/>
            <w:r>
              <w:rPr>
                <w:rFonts w:hint="eastAsia"/>
                <w:szCs w:val="21"/>
                <w:lang w:eastAsia="zh-CN"/>
              </w:rPr>
              <w:t>类型</w:t>
            </w:r>
          </w:p>
        </w:tc>
        <w:tc>
          <w:tcPr>
            <w:tcW w:w="2478" w:type="dxa"/>
            <w:vMerge w:val="restart"/>
            <w:tcBorders>
              <w:tl2br w:val="nil"/>
              <w:tr2bl w:val="nil"/>
            </w:tcBorders>
            <w:vAlign w:val="center"/>
          </w:tcPr>
          <w:p>
            <w:pPr>
              <w:snapToGrid w:val="0"/>
              <w:jc w:val="center"/>
              <w:rPr>
                <w:szCs w:val="21"/>
              </w:rPr>
            </w:pPr>
            <w:r>
              <w:rPr>
                <w:szCs w:val="21"/>
              </w:rPr>
              <w:t>标准名称</w:t>
            </w:r>
          </w:p>
        </w:tc>
        <w:tc>
          <w:tcPr>
            <w:tcW w:w="1522" w:type="dxa"/>
            <w:vMerge w:val="restart"/>
            <w:tcBorders>
              <w:tl2br w:val="nil"/>
              <w:tr2bl w:val="nil"/>
            </w:tcBorders>
            <w:vAlign w:val="center"/>
          </w:tcPr>
          <w:p>
            <w:pPr>
              <w:snapToGrid w:val="0"/>
              <w:jc w:val="center"/>
              <w:rPr>
                <w:szCs w:val="21"/>
              </w:rPr>
            </w:pPr>
            <w:r>
              <w:rPr>
                <w:szCs w:val="21"/>
              </w:rPr>
              <w:t>执行</w:t>
            </w:r>
          </w:p>
          <w:p>
            <w:pPr>
              <w:snapToGrid w:val="0"/>
              <w:jc w:val="center"/>
              <w:rPr>
                <w:szCs w:val="21"/>
              </w:rPr>
            </w:pPr>
            <w:r>
              <w:rPr>
                <w:szCs w:val="21"/>
              </w:rPr>
              <w:t>标准</w:t>
            </w:r>
          </w:p>
        </w:tc>
        <w:tc>
          <w:tcPr>
            <w:tcW w:w="1934" w:type="dxa"/>
            <w:vMerge w:val="restart"/>
            <w:tcBorders>
              <w:tl2br w:val="nil"/>
              <w:tr2bl w:val="nil"/>
            </w:tcBorders>
            <w:vAlign w:val="center"/>
          </w:tcPr>
          <w:p>
            <w:pPr>
              <w:snapToGrid w:val="0"/>
              <w:jc w:val="center"/>
              <w:rPr>
                <w:szCs w:val="21"/>
              </w:rPr>
            </w:pPr>
            <w:r>
              <w:rPr>
                <w:szCs w:val="21"/>
              </w:rPr>
              <w:t>项 目</w:t>
            </w:r>
          </w:p>
          <w:p>
            <w:pPr>
              <w:snapToGrid w:val="0"/>
              <w:jc w:val="center"/>
              <w:rPr>
                <w:szCs w:val="21"/>
              </w:rPr>
            </w:pPr>
            <w:r>
              <w:rPr>
                <w:szCs w:val="21"/>
              </w:rPr>
              <w:t>类别</w:t>
            </w:r>
          </w:p>
        </w:tc>
        <w:tc>
          <w:tcPr>
            <w:tcW w:w="1808" w:type="dxa"/>
            <w:gridSpan w:val="2"/>
            <w:tcBorders>
              <w:tl2br w:val="nil"/>
              <w:tr2bl w:val="nil"/>
            </w:tcBorders>
            <w:vAlign w:val="center"/>
          </w:tcPr>
          <w:p>
            <w:pPr>
              <w:snapToGrid w:val="0"/>
              <w:jc w:val="center"/>
              <w:rPr>
                <w:szCs w:val="21"/>
              </w:rPr>
            </w:pPr>
            <w:r>
              <w:rPr>
                <w:szCs w:val="21"/>
              </w:rPr>
              <w:t>标准值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widowControl/>
              <w:snapToGrid w:val="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vMerge w:val="continue"/>
            <w:tcBorders>
              <w:tl2br w:val="nil"/>
              <w:tr2bl w:val="nil"/>
            </w:tcBorders>
            <w:vAlign w:val="center"/>
          </w:tcPr>
          <w:p>
            <w:pPr>
              <w:snapToGrid w:val="0"/>
              <w:jc w:val="center"/>
              <w:rPr>
                <w:szCs w:val="21"/>
              </w:rPr>
            </w:pPr>
          </w:p>
        </w:tc>
        <w:tc>
          <w:tcPr>
            <w:tcW w:w="915" w:type="dxa"/>
            <w:tcBorders>
              <w:tl2br w:val="nil"/>
              <w:tr2bl w:val="nil"/>
            </w:tcBorders>
            <w:vAlign w:val="center"/>
          </w:tcPr>
          <w:p>
            <w:pPr>
              <w:snapToGrid w:val="0"/>
              <w:jc w:val="center"/>
              <w:rPr>
                <w:szCs w:val="21"/>
              </w:rPr>
            </w:pPr>
            <w:r>
              <w:rPr>
                <w:szCs w:val="21"/>
              </w:rPr>
              <w:t>限 值</w:t>
            </w:r>
          </w:p>
        </w:tc>
        <w:tc>
          <w:tcPr>
            <w:tcW w:w="893" w:type="dxa"/>
            <w:tcBorders>
              <w:tl2br w:val="nil"/>
              <w:tr2bl w:val="nil"/>
            </w:tcBorders>
            <w:vAlign w:val="center"/>
          </w:tcPr>
          <w:p>
            <w:pPr>
              <w:snapToGrid w:val="0"/>
              <w:jc w:val="center"/>
              <w:rPr>
                <w:szCs w:val="21"/>
              </w:rPr>
            </w:pPr>
            <w:r>
              <w:rPr>
                <w:szCs w:val="21"/>
              </w:rPr>
              <w:t>单 位</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restart"/>
            <w:tcBorders>
              <w:tl2br w:val="nil"/>
              <w:tr2bl w:val="nil"/>
            </w:tcBorders>
            <w:vAlign w:val="center"/>
          </w:tcPr>
          <w:p>
            <w:pPr>
              <w:snapToGrid w:val="0"/>
              <w:ind w:firstLine="105" w:firstLineChars="50"/>
              <w:jc w:val="center"/>
              <w:rPr>
                <w:rFonts w:hint="eastAsia" w:eastAsia="宋体"/>
                <w:szCs w:val="21"/>
                <w:lang w:eastAsia="zh-CN"/>
              </w:rPr>
            </w:pPr>
            <w:r>
              <w:rPr>
                <w:rFonts w:hint="eastAsia"/>
                <w:szCs w:val="21"/>
                <w:lang w:eastAsia="zh-CN"/>
              </w:rPr>
              <w:t>废气</w:t>
            </w:r>
          </w:p>
        </w:tc>
        <w:tc>
          <w:tcPr>
            <w:tcW w:w="2478" w:type="dxa"/>
            <w:vMerge w:val="restart"/>
            <w:tcBorders>
              <w:tl2br w:val="nil"/>
              <w:tr2bl w:val="nil"/>
            </w:tcBorders>
            <w:vAlign w:val="center"/>
          </w:tcPr>
          <w:p>
            <w:pPr>
              <w:snapToGrid w:val="0"/>
              <w:jc w:val="center"/>
              <w:rPr>
                <w:szCs w:val="21"/>
              </w:rPr>
            </w:pPr>
            <w:r>
              <w:rPr>
                <w:szCs w:val="21"/>
              </w:rPr>
              <w:t>《恶臭污染物排放标准》</w:t>
            </w:r>
          </w:p>
          <w:p>
            <w:pPr>
              <w:snapToGrid w:val="0"/>
              <w:ind w:firstLine="105" w:firstLineChars="50"/>
              <w:jc w:val="center"/>
              <w:rPr>
                <w:rFonts w:hint="eastAsia"/>
                <w:szCs w:val="21"/>
                <w:lang w:eastAsia="zh-CN"/>
              </w:rPr>
            </w:pPr>
            <w:r>
              <w:rPr>
                <w:rFonts w:hint="eastAsia"/>
                <w:szCs w:val="21"/>
                <w:lang w:eastAsia="zh-CN"/>
              </w:rPr>
              <w:t>（</w:t>
            </w:r>
            <w:r>
              <w:rPr>
                <w:szCs w:val="21"/>
              </w:rPr>
              <w:t>GB14554-93</w:t>
            </w:r>
            <w:r>
              <w:rPr>
                <w:rFonts w:hint="eastAsia"/>
                <w:szCs w:val="21"/>
                <w:lang w:eastAsia="zh-CN"/>
              </w:rPr>
              <w:t>）</w:t>
            </w:r>
          </w:p>
        </w:tc>
        <w:tc>
          <w:tcPr>
            <w:tcW w:w="1522" w:type="dxa"/>
            <w:vMerge w:val="restart"/>
            <w:tcBorders>
              <w:tl2br w:val="nil"/>
              <w:tr2bl w:val="nil"/>
            </w:tcBorders>
            <w:vAlign w:val="center"/>
          </w:tcPr>
          <w:p>
            <w:pPr>
              <w:widowControl/>
              <w:snapToGrid w:val="0"/>
              <w:jc w:val="center"/>
              <w:rPr>
                <w:szCs w:val="21"/>
              </w:rPr>
            </w:pPr>
            <w:r>
              <w:rPr>
                <w:szCs w:val="21"/>
              </w:rPr>
              <w:t>15m高排气筒</w:t>
            </w:r>
          </w:p>
        </w:tc>
        <w:tc>
          <w:tcPr>
            <w:tcW w:w="1934" w:type="dxa"/>
            <w:tcBorders>
              <w:tl2br w:val="nil"/>
              <w:tr2bl w:val="nil"/>
            </w:tcBorders>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H</w:t>
            </w:r>
            <w:r>
              <w:rPr>
                <w:rFonts w:hint="default" w:ascii="Times New Roman" w:hAnsi="Times New Roman" w:cs="Times New Roman"/>
                <w:szCs w:val="21"/>
                <w:vertAlign w:val="subscript"/>
                <w:lang w:val="en-US" w:eastAsia="zh-CN"/>
              </w:rPr>
              <w:t>2</w:t>
            </w:r>
            <w:r>
              <w:rPr>
                <w:rFonts w:hint="default" w:ascii="Times New Roman" w:hAnsi="Times New Roman" w:cs="Times New Roman"/>
                <w:szCs w:val="21"/>
                <w:lang w:val="en-US" w:eastAsia="zh-CN"/>
              </w:rPr>
              <w:t>S</w:t>
            </w:r>
          </w:p>
        </w:tc>
        <w:tc>
          <w:tcPr>
            <w:tcW w:w="915" w:type="dxa"/>
            <w:tcBorders>
              <w:tl2br w:val="nil"/>
              <w:tr2bl w:val="nil"/>
            </w:tcBorders>
            <w:vAlign w:val="center"/>
          </w:tcPr>
          <w:p>
            <w:pPr>
              <w:snapToGrid w:val="0"/>
              <w:jc w:val="center"/>
              <w:rPr>
                <w:szCs w:val="21"/>
              </w:rPr>
            </w:pPr>
            <w:r>
              <w:rPr>
                <w:szCs w:val="21"/>
              </w:rPr>
              <w:t>0.33</w:t>
            </w:r>
          </w:p>
        </w:tc>
        <w:tc>
          <w:tcPr>
            <w:tcW w:w="893" w:type="dxa"/>
            <w:tcBorders>
              <w:tl2br w:val="nil"/>
              <w:tr2bl w:val="nil"/>
            </w:tcBorders>
            <w:vAlign w:val="center"/>
          </w:tcPr>
          <w:p>
            <w:pPr>
              <w:snapToGrid w:val="0"/>
              <w:jc w:val="center"/>
              <w:rPr>
                <w:szCs w:val="21"/>
              </w:rPr>
            </w:pPr>
            <w:r>
              <w:rPr>
                <w:szCs w:val="21"/>
              </w:rPr>
              <w:t>kg/h</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NH</w:t>
            </w:r>
            <w:r>
              <w:rPr>
                <w:rFonts w:hint="default" w:ascii="Times New Roman" w:hAnsi="Times New Roman" w:cs="Times New Roman"/>
                <w:szCs w:val="21"/>
                <w:vertAlign w:val="subscript"/>
                <w:lang w:val="en-US" w:eastAsia="zh-CN"/>
              </w:rPr>
              <w:t>3</w:t>
            </w:r>
          </w:p>
        </w:tc>
        <w:tc>
          <w:tcPr>
            <w:tcW w:w="915" w:type="dxa"/>
            <w:tcBorders>
              <w:tl2br w:val="nil"/>
              <w:tr2bl w:val="nil"/>
            </w:tcBorders>
            <w:vAlign w:val="center"/>
          </w:tcPr>
          <w:p>
            <w:pPr>
              <w:snapToGrid w:val="0"/>
              <w:jc w:val="center"/>
              <w:rPr>
                <w:szCs w:val="21"/>
              </w:rPr>
            </w:pPr>
            <w:r>
              <w:rPr>
                <w:szCs w:val="21"/>
              </w:rPr>
              <w:t>4.9</w:t>
            </w:r>
          </w:p>
        </w:tc>
        <w:tc>
          <w:tcPr>
            <w:tcW w:w="893" w:type="dxa"/>
            <w:tcBorders>
              <w:tl2br w:val="nil"/>
              <w:tr2bl w:val="nil"/>
            </w:tcBorders>
            <w:vAlign w:val="center"/>
          </w:tcPr>
          <w:p>
            <w:pPr>
              <w:snapToGrid w:val="0"/>
              <w:jc w:val="center"/>
              <w:rPr>
                <w:szCs w:val="21"/>
              </w:rPr>
            </w:pPr>
            <w:r>
              <w:rPr>
                <w:szCs w:val="21"/>
              </w:rPr>
              <w:t>kg/h</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continue"/>
            <w:tcBorders>
              <w:tl2br w:val="nil"/>
              <w:tr2bl w:val="nil"/>
            </w:tcBorders>
            <w:vAlign w:val="center"/>
          </w:tcPr>
          <w:p>
            <w:pPr>
              <w:snapToGrid w:val="0"/>
              <w:jc w:val="center"/>
              <w:rPr>
                <w:rFonts w:hint="eastAsia"/>
                <w:szCs w:val="21"/>
                <w:lang w:val="en-US" w:eastAsia="zh-CN"/>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restart"/>
            <w:tcBorders>
              <w:tl2br w:val="nil"/>
              <w:tr2bl w:val="nil"/>
            </w:tcBorders>
            <w:vAlign w:val="center"/>
          </w:tcPr>
          <w:p>
            <w:pPr>
              <w:widowControl/>
              <w:snapToGrid w:val="0"/>
              <w:jc w:val="center"/>
              <w:rPr>
                <w:szCs w:val="21"/>
              </w:rPr>
            </w:pPr>
            <w:r>
              <w:rPr>
                <w:rFonts w:hint="eastAsia"/>
                <w:szCs w:val="21"/>
                <w:lang w:eastAsia="zh-CN"/>
              </w:rPr>
              <w:t>二级标准</w:t>
            </w:r>
          </w:p>
        </w:tc>
        <w:tc>
          <w:tcPr>
            <w:tcW w:w="1934" w:type="dxa"/>
            <w:tcBorders>
              <w:tl2br w:val="nil"/>
              <w:tr2bl w:val="nil"/>
            </w:tcBorders>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H</w:t>
            </w:r>
            <w:r>
              <w:rPr>
                <w:rFonts w:hint="default" w:ascii="Times New Roman" w:hAnsi="Times New Roman" w:cs="Times New Roman"/>
                <w:szCs w:val="21"/>
                <w:vertAlign w:val="subscript"/>
                <w:lang w:val="en-US" w:eastAsia="zh-CN"/>
              </w:rPr>
              <w:t>2</w:t>
            </w:r>
            <w:r>
              <w:rPr>
                <w:rFonts w:hint="default" w:ascii="Times New Roman" w:hAnsi="Times New Roman" w:cs="Times New Roman"/>
                <w:szCs w:val="21"/>
                <w:lang w:val="en-US" w:eastAsia="zh-CN"/>
              </w:rPr>
              <w:t>S</w:t>
            </w:r>
          </w:p>
        </w:tc>
        <w:tc>
          <w:tcPr>
            <w:tcW w:w="915" w:type="dxa"/>
            <w:tcBorders>
              <w:tl2br w:val="nil"/>
              <w:tr2bl w:val="nil"/>
            </w:tcBorders>
            <w:vAlign w:val="center"/>
          </w:tcPr>
          <w:p>
            <w:pPr>
              <w:snapToGrid w:val="0"/>
              <w:jc w:val="center"/>
              <w:rPr>
                <w:szCs w:val="21"/>
              </w:rPr>
            </w:pPr>
            <w:r>
              <w:rPr>
                <w:rFonts w:hint="eastAsia"/>
                <w:szCs w:val="21"/>
                <w:lang w:val="en-US" w:eastAsia="zh-CN"/>
              </w:rPr>
              <w:t>0.06</w:t>
            </w:r>
          </w:p>
        </w:tc>
        <w:tc>
          <w:tcPr>
            <w:tcW w:w="893" w:type="dxa"/>
            <w:tcBorders>
              <w:tl2br w:val="nil"/>
              <w:tr2bl w:val="nil"/>
            </w:tcBorders>
            <w:vAlign w:val="center"/>
          </w:tcPr>
          <w:p>
            <w:pPr>
              <w:snapToGrid w:val="0"/>
              <w:jc w:val="center"/>
              <w:rPr>
                <w:szCs w:val="21"/>
              </w:rPr>
            </w:pPr>
            <w:r>
              <w:rPr>
                <w:rFonts w:hint="eastAsia"/>
                <w:szCs w:val="21"/>
                <w:lang w:val="en-US" w:eastAsia="zh-CN"/>
              </w:rPr>
              <w:t>mg/m</w:t>
            </w:r>
            <w:r>
              <w:rPr>
                <w:rFonts w:hint="eastAsia"/>
                <w:szCs w:val="21"/>
                <w:vertAlign w:val="superscript"/>
                <w:lang w:val="en-US" w:eastAsia="zh-CN"/>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blHeader/>
        </w:trPr>
        <w:tc>
          <w:tcPr>
            <w:tcW w:w="787" w:type="dxa"/>
            <w:vMerge w:val="continue"/>
            <w:tcBorders>
              <w:tl2br w:val="nil"/>
              <w:tr2bl w:val="nil"/>
            </w:tcBorders>
            <w:vAlign w:val="center"/>
          </w:tcPr>
          <w:p>
            <w:pPr>
              <w:snapToGrid w:val="0"/>
              <w:jc w:val="center"/>
              <w:rPr>
                <w:rFonts w:hint="eastAsia"/>
                <w:szCs w:val="21"/>
                <w:lang w:val="en-US" w:eastAsia="zh-CN"/>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NH</w:t>
            </w:r>
            <w:r>
              <w:rPr>
                <w:rFonts w:hint="default" w:ascii="Times New Roman" w:hAnsi="Times New Roman" w:cs="Times New Roman"/>
                <w:szCs w:val="21"/>
                <w:vertAlign w:val="subscript"/>
                <w:lang w:val="en-US" w:eastAsia="zh-CN"/>
              </w:rPr>
              <w:t>3</w:t>
            </w:r>
          </w:p>
        </w:tc>
        <w:tc>
          <w:tcPr>
            <w:tcW w:w="915" w:type="dxa"/>
            <w:tcBorders>
              <w:tl2br w:val="nil"/>
              <w:tr2bl w:val="nil"/>
            </w:tcBorders>
            <w:vAlign w:val="center"/>
          </w:tcPr>
          <w:p>
            <w:pPr>
              <w:snapToGrid w:val="0"/>
              <w:jc w:val="center"/>
              <w:rPr>
                <w:szCs w:val="21"/>
              </w:rPr>
            </w:pPr>
            <w:r>
              <w:rPr>
                <w:rFonts w:hint="eastAsia"/>
                <w:szCs w:val="21"/>
                <w:lang w:val="en-US" w:eastAsia="zh-CN"/>
              </w:rPr>
              <w:t>1.5</w:t>
            </w:r>
          </w:p>
        </w:tc>
        <w:tc>
          <w:tcPr>
            <w:tcW w:w="893" w:type="dxa"/>
            <w:tcBorders>
              <w:tl2br w:val="nil"/>
              <w:tr2bl w:val="nil"/>
            </w:tcBorders>
            <w:vAlign w:val="center"/>
          </w:tcPr>
          <w:p>
            <w:pPr>
              <w:snapToGrid w:val="0"/>
              <w:jc w:val="center"/>
              <w:rPr>
                <w:szCs w:val="21"/>
              </w:rPr>
            </w:pPr>
            <w:r>
              <w:rPr>
                <w:rFonts w:hint="eastAsia"/>
                <w:szCs w:val="21"/>
                <w:lang w:val="en-US" w:eastAsia="zh-CN"/>
              </w:rPr>
              <w:t>mg/m</w:t>
            </w:r>
            <w:r>
              <w:rPr>
                <w:rFonts w:hint="eastAsia"/>
                <w:szCs w:val="21"/>
                <w:vertAlign w:val="superscript"/>
                <w:lang w:val="en-US" w:eastAsia="zh-CN"/>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restart"/>
            <w:tcBorders>
              <w:tl2br w:val="nil"/>
              <w:tr2bl w:val="nil"/>
            </w:tcBorders>
            <w:vAlign w:val="center"/>
          </w:tcPr>
          <w:p>
            <w:pPr>
              <w:snapToGrid w:val="0"/>
              <w:jc w:val="center"/>
              <w:rPr>
                <w:rFonts w:hint="eastAsia" w:eastAsia="宋体"/>
                <w:szCs w:val="21"/>
                <w:lang w:eastAsia="zh-CN"/>
              </w:rPr>
            </w:pPr>
            <w:r>
              <w:rPr>
                <w:rFonts w:hint="eastAsia"/>
                <w:szCs w:val="21"/>
                <w:lang w:eastAsia="zh-CN"/>
              </w:rPr>
              <w:t>废水</w:t>
            </w:r>
          </w:p>
        </w:tc>
        <w:tc>
          <w:tcPr>
            <w:tcW w:w="2478" w:type="dxa"/>
            <w:vMerge w:val="restart"/>
            <w:tcBorders>
              <w:tl2br w:val="nil"/>
              <w:tr2bl w:val="nil"/>
            </w:tcBorders>
            <w:vAlign w:val="center"/>
          </w:tcPr>
          <w:p>
            <w:pPr>
              <w:snapToGrid w:val="0"/>
              <w:jc w:val="center"/>
              <w:rPr>
                <w:szCs w:val="21"/>
              </w:rPr>
            </w:pPr>
            <w:r>
              <w:rPr>
                <w:szCs w:val="21"/>
              </w:rPr>
              <w:t>《黄河流域（陕西段）污水综合排放标准》</w:t>
            </w:r>
          </w:p>
          <w:p>
            <w:pPr>
              <w:snapToGrid w:val="0"/>
              <w:jc w:val="center"/>
              <w:rPr>
                <w:rFonts w:hint="eastAsia"/>
                <w:szCs w:val="21"/>
                <w:lang w:eastAsia="zh-CN"/>
              </w:rPr>
            </w:pPr>
            <w:r>
              <w:rPr>
                <w:rFonts w:hint="eastAsia"/>
                <w:szCs w:val="21"/>
                <w:lang w:eastAsia="zh-CN"/>
              </w:rPr>
              <w:t>（</w:t>
            </w:r>
            <w:r>
              <w:rPr>
                <w:szCs w:val="21"/>
              </w:rPr>
              <w:t>DB61/224-2011</w:t>
            </w:r>
            <w:r>
              <w:rPr>
                <w:rFonts w:hint="eastAsia"/>
                <w:szCs w:val="21"/>
                <w:lang w:eastAsia="zh-CN"/>
              </w:rPr>
              <w:t>）</w:t>
            </w:r>
          </w:p>
        </w:tc>
        <w:tc>
          <w:tcPr>
            <w:tcW w:w="1522" w:type="dxa"/>
            <w:vMerge w:val="restart"/>
            <w:tcBorders>
              <w:tl2br w:val="nil"/>
              <w:tr2bl w:val="nil"/>
            </w:tcBorders>
            <w:vAlign w:val="center"/>
          </w:tcPr>
          <w:p>
            <w:pPr>
              <w:snapToGrid w:val="0"/>
              <w:jc w:val="center"/>
              <w:rPr>
                <w:szCs w:val="21"/>
              </w:rPr>
            </w:pPr>
            <w:r>
              <w:rPr>
                <w:rFonts w:hint="eastAsia"/>
                <w:szCs w:val="21"/>
                <w:lang w:eastAsia="zh-CN"/>
              </w:rPr>
              <w:t>二</w:t>
            </w:r>
            <w:r>
              <w:rPr>
                <w:szCs w:val="21"/>
              </w:rPr>
              <w:t>级标准</w:t>
            </w:r>
          </w:p>
        </w:tc>
        <w:tc>
          <w:tcPr>
            <w:tcW w:w="1934" w:type="dxa"/>
            <w:tcBorders>
              <w:tl2br w:val="nil"/>
              <w:tr2bl w:val="nil"/>
            </w:tcBorders>
            <w:vAlign w:val="center"/>
          </w:tcPr>
          <w:p>
            <w:pPr>
              <w:widowControl/>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COD</w:t>
            </w:r>
          </w:p>
        </w:tc>
        <w:tc>
          <w:tcPr>
            <w:tcW w:w="915"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300</w:t>
            </w:r>
          </w:p>
        </w:tc>
        <w:tc>
          <w:tcPr>
            <w:tcW w:w="893" w:type="dxa"/>
            <w:vMerge w:val="restart"/>
            <w:tcBorders>
              <w:tl2br w:val="nil"/>
              <w:tr2bl w:val="nil"/>
            </w:tcBorders>
            <w:vAlign w:val="center"/>
          </w:tcPr>
          <w:p>
            <w:pPr>
              <w:snapToGrid w:val="0"/>
              <w:jc w:val="center"/>
              <w:rPr>
                <w:szCs w:val="21"/>
              </w:rPr>
            </w:pPr>
            <w:r>
              <w:rPr>
                <w:szCs w:val="21"/>
              </w:rPr>
              <w:t>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jc w:val="center"/>
              <w:rPr>
                <w:szCs w:val="21"/>
              </w:rPr>
            </w:pPr>
          </w:p>
        </w:tc>
        <w:tc>
          <w:tcPr>
            <w:tcW w:w="1522" w:type="dxa"/>
            <w:vMerge w:val="continue"/>
            <w:tcBorders>
              <w:tl2br w:val="nil"/>
              <w:tr2bl w:val="nil"/>
            </w:tcBorders>
            <w:vAlign w:val="center"/>
          </w:tcPr>
          <w:p>
            <w:pPr>
              <w:snapToGrid w:val="0"/>
              <w:jc w:val="center"/>
              <w:rPr>
                <w:szCs w:val="21"/>
              </w:rPr>
            </w:pPr>
          </w:p>
        </w:tc>
        <w:tc>
          <w:tcPr>
            <w:tcW w:w="1934" w:type="dxa"/>
            <w:tcBorders>
              <w:tl2br w:val="nil"/>
              <w:tr2bl w:val="nil"/>
            </w:tcBorders>
            <w:vAlign w:val="center"/>
          </w:tcPr>
          <w:p>
            <w:pPr>
              <w:widowControl/>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BOD</w:t>
            </w:r>
            <w:r>
              <w:rPr>
                <w:rFonts w:hint="default" w:ascii="Times New Roman" w:hAnsi="Times New Roman" w:cs="Times New Roman"/>
                <w:szCs w:val="21"/>
                <w:vertAlign w:val="subscript"/>
                <w:lang w:val="en-US" w:eastAsia="zh-CN"/>
              </w:rPr>
              <w:t>5</w:t>
            </w:r>
          </w:p>
        </w:tc>
        <w:tc>
          <w:tcPr>
            <w:tcW w:w="915"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150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jc w:val="center"/>
              <w:rPr>
                <w:szCs w:val="21"/>
              </w:rPr>
            </w:pPr>
          </w:p>
        </w:tc>
        <w:tc>
          <w:tcPr>
            <w:tcW w:w="1522" w:type="dxa"/>
            <w:vMerge w:val="continue"/>
            <w:tcBorders>
              <w:tl2br w:val="nil"/>
              <w:tr2bl w:val="nil"/>
            </w:tcBorders>
            <w:vAlign w:val="center"/>
          </w:tcPr>
          <w:p>
            <w:pPr>
              <w:snapToGrid w:val="0"/>
              <w:jc w:val="center"/>
              <w:rPr>
                <w:szCs w:val="21"/>
              </w:rPr>
            </w:pPr>
          </w:p>
        </w:tc>
        <w:tc>
          <w:tcPr>
            <w:tcW w:w="1934" w:type="dxa"/>
            <w:tcBorders>
              <w:tl2br w:val="nil"/>
              <w:tr2bl w:val="nil"/>
            </w:tcBorders>
            <w:vAlign w:val="center"/>
          </w:tcPr>
          <w:p>
            <w:pPr>
              <w:widowControl/>
              <w:snapToGrid w:val="0"/>
              <w:jc w:val="center"/>
              <w:rPr>
                <w:rFonts w:hint="default" w:ascii="Times New Roman" w:hAnsi="Times New Roman" w:cs="Times New Roman"/>
                <w:szCs w:val="21"/>
              </w:rPr>
            </w:pPr>
            <w:r>
              <w:rPr>
                <w:rFonts w:hint="default" w:ascii="Times New Roman" w:hAnsi="Times New Roman" w:cs="Times New Roman"/>
                <w:szCs w:val="21"/>
              </w:rPr>
              <w:t>氨氮</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25</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jc w:val="center"/>
              <w:rPr>
                <w:szCs w:val="21"/>
              </w:rPr>
            </w:pPr>
          </w:p>
        </w:tc>
        <w:tc>
          <w:tcPr>
            <w:tcW w:w="1522" w:type="dxa"/>
            <w:vMerge w:val="continue"/>
            <w:tcBorders>
              <w:tl2br w:val="nil"/>
              <w:tr2bl w:val="nil"/>
            </w:tcBorders>
            <w:vAlign w:val="center"/>
          </w:tcPr>
          <w:p>
            <w:pPr>
              <w:snapToGrid w:val="0"/>
              <w:jc w:val="center"/>
              <w:rPr>
                <w:szCs w:val="21"/>
              </w:rPr>
            </w:pPr>
          </w:p>
        </w:tc>
        <w:tc>
          <w:tcPr>
            <w:tcW w:w="1934" w:type="dxa"/>
            <w:tcBorders>
              <w:tl2br w:val="nil"/>
              <w:tr2bl w:val="nil"/>
            </w:tcBorders>
            <w:vAlign w:val="center"/>
          </w:tcPr>
          <w:p>
            <w:pPr>
              <w:widowControl/>
              <w:snapToGrid w:val="0"/>
              <w:jc w:val="center"/>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石油类</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15</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ind w:firstLine="210" w:firstLineChars="100"/>
              <w:jc w:val="center"/>
              <w:rPr>
                <w:szCs w:val="21"/>
              </w:rPr>
            </w:pPr>
          </w:p>
        </w:tc>
        <w:tc>
          <w:tcPr>
            <w:tcW w:w="2478" w:type="dxa"/>
            <w:vMerge w:val="continue"/>
            <w:tcBorders>
              <w:tl2br w:val="nil"/>
              <w:tr2bl w:val="nil"/>
            </w:tcBorders>
            <w:vAlign w:val="center"/>
          </w:tcPr>
          <w:p>
            <w:pPr>
              <w:snapToGrid w:val="0"/>
              <w:jc w:val="center"/>
              <w:rPr>
                <w:szCs w:val="21"/>
              </w:rPr>
            </w:pPr>
          </w:p>
        </w:tc>
        <w:tc>
          <w:tcPr>
            <w:tcW w:w="1522" w:type="dxa"/>
            <w:vMerge w:val="continue"/>
            <w:tcBorders>
              <w:tl2br w:val="nil"/>
              <w:tr2bl w:val="nil"/>
            </w:tcBorders>
            <w:vAlign w:val="center"/>
          </w:tcPr>
          <w:p>
            <w:pPr>
              <w:snapToGrid w:val="0"/>
              <w:jc w:val="center"/>
              <w:rPr>
                <w:szCs w:val="21"/>
              </w:rPr>
            </w:pPr>
          </w:p>
        </w:tc>
        <w:tc>
          <w:tcPr>
            <w:tcW w:w="1934" w:type="dxa"/>
            <w:tcBorders>
              <w:tl2br w:val="nil"/>
              <w:tr2bl w:val="nil"/>
            </w:tcBorders>
            <w:vAlign w:val="center"/>
          </w:tcPr>
          <w:p>
            <w:pPr>
              <w:widowControl/>
              <w:snapToGrid w:val="0"/>
              <w:jc w:val="center"/>
              <w:rPr>
                <w:rFonts w:hint="default" w:ascii="Times New Roman" w:hAnsi="Times New Roman" w:cs="Times New Roman"/>
                <w:szCs w:val="21"/>
              </w:rPr>
            </w:pPr>
            <w:r>
              <w:rPr>
                <w:rFonts w:hint="default" w:ascii="Times New Roman" w:hAnsi="Times New Roman" w:cs="Times New Roman"/>
                <w:szCs w:val="21"/>
              </w:rPr>
              <w:t>硫化物</w:t>
            </w:r>
          </w:p>
        </w:tc>
        <w:tc>
          <w:tcPr>
            <w:tcW w:w="915"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1.0</w:t>
            </w:r>
          </w:p>
        </w:tc>
        <w:tc>
          <w:tcPr>
            <w:tcW w:w="893" w:type="dxa"/>
            <w:vMerge w:val="continue"/>
            <w:tcBorders>
              <w:tl2br w:val="nil"/>
              <w:tr2bl w:val="nil"/>
            </w:tcBorders>
            <w:vAlign w:val="center"/>
          </w:tcPr>
          <w:p>
            <w:pPr>
              <w:snapToGrid w:val="0"/>
              <w:ind w:firstLine="210" w:firstLineChars="10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jc w:val="center"/>
              <w:rPr>
                <w:szCs w:val="21"/>
              </w:rPr>
            </w:pPr>
          </w:p>
        </w:tc>
        <w:tc>
          <w:tcPr>
            <w:tcW w:w="2478" w:type="dxa"/>
            <w:vMerge w:val="restart"/>
            <w:tcBorders>
              <w:tl2br w:val="nil"/>
              <w:tr2bl w:val="nil"/>
            </w:tcBorders>
            <w:vAlign w:val="center"/>
          </w:tcPr>
          <w:p>
            <w:pPr>
              <w:snapToGrid w:val="0"/>
              <w:jc w:val="center"/>
              <w:rPr>
                <w:szCs w:val="21"/>
              </w:rPr>
            </w:pPr>
            <w:r>
              <w:rPr>
                <w:rFonts w:hint="eastAsia"/>
                <w:szCs w:val="21"/>
              </w:rPr>
              <w:t>《污水综合排放标准》</w:t>
            </w:r>
          </w:p>
          <w:p>
            <w:pPr>
              <w:snapToGrid w:val="0"/>
              <w:jc w:val="center"/>
              <w:rPr>
                <w:rFonts w:hint="eastAsia"/>
                <w:szCs w:val="21"/>
                <w:lang w:eastAsia="zh-CN"/>
              </w:rPr>
            </w:pPr>
            <w:r>
              <w:rPr>
                <w:rFonts w:hint="eastAsia"/>
                <w:szCs w:val="21"/>
                <w:lang w:eastAsia="zh-CN"/>
              </w:rPr>
              <w:t>（</w:t>
            </w:r>
            <w:r>
              <w:rPr>
                <w:rFonts w:hint="eastAsia"/>
                <w:szCs w:val="21"/>
              </w:rPr>
              <w:t>GB8978-1996</w:t>
            </w:r>
            <w:r>
              <w:rPr>
                <w:rFonts w:hint="eastAsia"/>
                <w:szCs w:val="21"/>
                <w:lang w:eastAsia="zh-CN"/>
              </w:rPr>
              <w:t>）</w:t>
            </w:r>
          </w:p>
        </w:tc>
        <w:tc>
          <w:tcPr>
            <w:tcW w:w="1522" w:type="dxa"/>
            <w:vMerge w:val="restart"/>
            <w:tcBorders>
              <w:tl2br w:val="nil"/>
              <w:tr2bl w:val="nil"/>
            </w:tcBorders>
            <w:vAlign w:val="center"/>
          </w:tcPr>
          <w:p>
            <w:pPr>
              <w:snapToGrid w:val="0"/>
              <w:jc w:val="center"/>
              <w:rPr>
                <w:szCs w:val="21"/>
              </w:rPr>
            </w:pPr>
            <w:r>
              <w:rPr>
                <w:rFonts w:hint="eastAsia"/>
                <w:szCs w:val="21"/>
                <w:lang w:eastAsia="zh-CN"/>
              </w:rPr>
              <w:t>三</w:t>
            </w:r>
            <w:r>
              <w:rPr>
                <w:rFonts w:hint="eastAsia"/>
                <w:szCs w:val="21"/>
              </w:rPr>
              <w:t>级标准</w:t>
            </w:r>
          </w:p>
        </w:tc>
        <w:tc>
          <w:tcPr>
            <w:tcW w:w="1934" w:type="dxa"/>
            <w:tcBorders>
              <w:tl2br w:val="nil"/>
              <w:tr2bl w:val="nil"/>
            </w:tcBorders>
            <w:vAlign w:val="center"/>
          </w:tcPr>
          <w:p>
            <w:pPr>
              <w:widowControl/>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pH</w:t>
            </w:r>
          </w:p>
        </w:tc>
        <w:tc>
          <w:tcPr>
            <w:tcW w:w="915"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6-9</w:t>
            </w:r>
          </w:p>
        </w:tc>
        <w:tc>
          <w:tcPr>
            <w:tcW w:w="893" w:type="dxa"/>
            <w:tcBorders>
              <w:tl2br w:val="nil"/>
              <w:tr2bl w:val="nil"/>
            </w:tcBorders>
            <w:vAlign w:val="center"/>
          </w:tcPr>
          <w:p>
            <w:pPr>
              <w:snapToGrid w:val="0"/>
              <w:ind w:firstLine="210" w:firstLineChars="100"/>
              <w:jc w:val="center"/>
              <w:rPr>
                <w:rFonts w:hint="eastAsia" w:eastAsia="宋体"/>
                <w:szCs w:val="21"/>
                <w:lang w:val="en-US" w:eastAsia="zh-CN"/>
              </w:rPr>
            </w:pPr>
            <w:r>
              <w:rPr>
                <w:rFonts w:hint="eastAsia"/>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jc w:val="center"/>
              <w:rPr>
                <w:rFonts w:hint="eastAsia"/>
                <w:szCs w:val="21"/>
              </w:rPr>
            </w:pPr>
          </w:p>
        </w:tc>
        <w:tc>
          <w:tcPr>
            <w:tcW w:w="1522" w:type="dxa"/>
            <w:vMerge w:val="continue"/>
            <w:tcBorders>
              <w:tl2br w:val="nil"/>
              <w:tr2bl w:val="nil"/>
            </w:tcBorders>
            <w:vAlign w:val="center"/>
          </w:tcPr>
          <w:p>
            <w:pPr>
              <w:snapToGrid w:val="0"/>
              <w:jc w:val="center"/>
              <w:rPr>
                <w:rFonts w:hint="eastAsia"/>
                <w:szCs w:val="21"/>
                <w:lang w:eastAsia="zh-CN"/>
              </w:rPr>
            </w:pPr>
          </w:p>
        </w:tc>
        <w:tc>
          <w:tcPr>
            <w:tcW w:w="1934" w:type="dxa"/>
            <w:tcBorders>
              <w:tl2br w:val="nil"/>
              <w:tr2bl w:val="nil"/>
            </w:tcBorders>
            <w:vAlign w:val="center"/>
          </w:tcPr>
          <w:p>
            <w:pPr>
              <w:widowControl/>
              <w:snapToGrid w:val="0"/>
              <w:jc w:val="center"/>
              <w:rPr>
                <w:rFonts w:hint="default" w:ascii="Times New Roman" w:hAnsi="Times New Roman" w:cs="Times New Roman"/>
                <w:szCs w:val="21"/>
              </w:rPr>
            </w:pPr>
            <w:r>
              <w:rPr>
                <w:rFonts w:hint="default" w:ascii="Times New Roman" w:hAnsi="Times New Roman" w:cs="Times New Roman"/>
                <w:szCs w:val="21"/>
              </w:rPr>
              <w:t>SS</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400</w:t>
            </w:r>
          </w:p>
        </w:tc>
        <w:tc>
          <w:tcPr>
            <w:tcW w:w="893" w:type="dxa"/>
            <w:tcBorders>
              <w:tl2br w:val="nil"/>
              <w:tr2bl w:val="nil"/>
            </w:tcBorders>
            <w:vAlign w:val="center"/>
          </w:tcPr>
          <w:p>
            <w:pPr>
              <w:snapToGrid w:val="0"/>
              <w:jc w:val="center"/>
              <w:rPr>
                <w:szCs w:val="21"/>
              </w:rPr>
            </w:pPr>
            <w:r>
              <w:rPr>
                <w:szCs w:val="21"/>
              </w:rPr>
              <w:t>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jc w:val="center"/>
              <w:rPr>
                <w:rFonts w:hint="eastAsia"/>
                <w:szCs w:val="21"/>
              </w:rPr>
            </w:pPr>
          </w:p>
        </w:tc>
        <w:tc>
          <w:tcPr>
            <w:tcW w:w="2478" w:type="dxa"/>
            <w:vMerge w:val="restart"/>
            <w:tcBorders>
              <w:tl2br w:val="nil"/>
              <w:tr2bl w:val="nil"/>
            </w:tcBorders>
            <w:vAlign w:val="center"/>
          </w:tcPr>
          <w:p>
            <w:pPr>
              <w:snapToGrid w:val="0"/>
              <w:jc w:val="center"/>
              <w:rPr>
                <w:rFonts w:hint="eastAsia"/>
                <w:szCs w:val="21"/>
              </w:rPr>
            </w:pPr>
            <w:r>
              <w:rPr>
                <w:rFonts w:hint="eastAsia" w:ascii="Times New Roman" w:hAnsi="Times New Roman" w:cs="Times New Roman"/>
                <w:sz w:val="21"/>
                <w:szCs w:val="21"/>
                <w:lang w:val="en-US" w:eastAsia="zh-CN"/>
              </w:rPr>
              <w:t>《污水排入城镇下水道水质标准》</w:t>
            </w:r>
          </w:p>
          <w:p>
            <w:pPr>
              <w:snapToGrid w:val="0"/>
              <w:jc w:val="center"/>
              <w:rPr>
                <w:rFonts w:hint="eastAsia"/>
                <w:szCs w:val="21"/>
                <w:lang w:val="en-US" w:eastAsia="zh-CN"/>
              </w:rPr>
            </w:pPr>
            <w:r>
              <w:rPr>
                <w:rFonts w:hint="eastAsia"/>
                <w:szCs w:val="21"/>
                <w:lang w:val="en-US" w:eastAsia="zh-CN"/>
              </w:rPr>
              <w:t>（GB/T14848-2017）</w:t>
            </w:r>
          </w:p>
        </w:tc>
        <w:tc>
          <w:tcPr>
            <w:tcW w:w="1522" w:type="dxa"/>
            <w:vMerge w:val="restart"/>
            <w:tcBorders>
              <w:tl2br w:val="nil"/>
              <w:tr2bl w:val="nil"/>
            </w:tcBorders>
            <w:vAlign w:val="center"/>
          </w:tcPr>
          <w:p>
            <w:pPr>
              <w:snapToGrid w:val="0"/>
              <w:jc w:val="center"/>
              <w:rPr>
                <w:rFonts w:hint="eastAsia"/>
                <w:szCs w:val="21"/>
                <w:lang w:eastAsia="zh-CN"/>
              </w:rPr>
            </w:pPr>
            <w:r>
              <w:rPr>
                <w:rFonts w:hint="eastAsia"/>
                <w:szCs w:val="21"/>
                <w:lang w:val="en-US" w:eastAsia="zh-CN"/>
              </w:rPr>
              <w:t>B等级标准</w:t>
            </w:r>
          </w:p>
        </w:tc>
        <w:tc>
          <w:tcPr>
            <w:tcW w:w="1934" w:type="dxa"/>
            <w:tcBorders>
              <w:tl2br w:val="nil"/>
              <w:tr2bl w:val="nil"/>
            </w:tcBorders>
            <w:vAlign w:val="center"/>
          </w:tcPr>
          <w:p>
            <w:pPr>
              <w:widowControl/>
              <w:snapToGrid w:val="0"/>
              <w:jc w:val="center"/>
              <w:rPr>
                <w:rFonts w:hint="eastAsia" w:eastAsia="宋体"/>
                <w:szCs w:val="21"/>
                <w:lang w:eastAsia="zh-CN"/>
              </w:rPr>
            </w:pPr>
            <w:r>
              <w:rPr>
                <w:rFonts w:hint="eastAsia"/>
                <w:szCs w:val="21"/>
                <w:lang w:eastAsia="zh-CN"/>
              </w:rPr>
              <w:t>总氮</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70</w:t>
            </w:r>
          </w:p>
        </w:tc>
        <w:tc>
          <w:tcPr>
            <w:tcW w:w="893" w:type="dxa"/>
            <w:vMerge w:val="restart"/>
            <w:tcBorders>
              <w:tl2br w:val="nil"/>
              <w:tr2bl w:val="nil"/>
            </w:tcBorders>
            <w:vAlign w:val="center"/>
          </w:tcPr>
          <w:p>
            <w:pPr>
              <w:snapToGrid w:val="0"/>
              <w:jc w:val="center"/>
              <w:rPr>
                <w:szCs w:val="21"/>
              </w:rPr>
            </w:pPr>
            <w:r>
              <w:rPr>
                <w:szCs w:val="21"/>
              </w:rPr>
              <w:t>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ind w:firstLine="210" w:firstLineChars="100"/>
              <w:jc w:val="center"/>
              <w:rPr>
                <w:szCs w:val="21"/>
              </w:rPr>
            </w:pPr>
          </w:p>
        </w:tc>
        <w:tc>
          <w:tcPr>
            <w:tcW w:w="2478" w:type="dxa"/>
            <w:vMerge w:val="continue"/>
            <w:tcBorders>
              <w:tl2br w:val="nil"/>
              <w:tr2bl w:val="nil"/>
            </w:tcBorders>
            <w:vAlign w:val="center"/>
          </w:tcPr>
          <w:p>
            <w:pPr>
              <w:snapToGrid w:val="0"/>
              <w:jc w:val="center"/>
              <w:rPr>
                <w:rFonts w:hint="eastAsia"/>
                <w:szCs w:val="21"/>
              </w:rPr>
            </w:pPr>
          </w:p>
        </w:tc>
        <w:tc>
          <w:tcPr>
            <w:tcW w:w="1522" w:type="dxa"/>
            <w:vMerge w:val="continue"/>
            <w:tcBorders>
              <w:tl2br w:val="nil"/>
              <w:tr2bl w:val="nil"/>
            </w:tcBorders>
            <w:vAlign w:val="center"/>
          </w:tcPr>
          <w:p>
            <w:pPr>
              <w:snapToGrid w:val="0"/>
              <w:jc w:val="center"/>
              <w:rPr>
                <w:rFonts w:hint="eastAsia"/>
                <w:szCs w:val="21"/>
                <w:lang w:eastAsia="zh-CN"/>
              </w:rPr>
            </w:pPr>
          </w:p>
        </w:tc>
        <w:tc>
          <w:tcPr>
            <w:tcW w:w="1934" w:type="dxa"/>
            <w:tcBorders>
              <w:tl2br w:val="nil"/>
              <w:tr2bl w:val="nil"/>
            </w:tcBorders>
            <w:vAlign w:val="center"/>
          </w:tcPr>
          <w:p>
            <w:pPr>
              <w:widowControl/>
              <w:snapToGrid w:val="0"/>
              <w:jc w:val="center"/>
              <w:rPr>
                <w:rFonts w:hint="eastAsia" w:eastAsia="宋体"/>
                <w:szCs w:val="21"/>
                <w:lang w:eastAsia="zh-CN"/>
              </w:rPr>
            </w:pPr>
            <w:r>
              <w:rPr>
                <w:rFonts w:hint="eastAsia"/>
                <w:szCs w:val="21"/>
                <w:lang w:eastAsia="zh-CN"/>
              </w:rPr>
              <w:t>总磷</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8</w:t>
            </w:r>
          </w:p>
        </w:tc>
        <w:tc>
          <w:tcPr>
            <w:tcW w:w="893" w:type="dxa"/>
            <w:vMerge w:val="continue"/>
            <w:tcBorders>
              <w:tl2br w:val="nil"/>
              <w:tr2bl w:val="nil"/>
            </w:tcBorders>
            <w:vAlign w:val="center"/>
          </w:tcPr>
          <w:p>
            <w:pPr>
              <w:snapToGrid w:val="0"/>
              <w:ind w:firstLine="210" w:firstLineChars="10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ind w:firstLine="210" w:firstLineChars="100"/>
              <w:jc w:val="center"/>
              <w:rPr>
                <w:szCs w:val="21"/>
              </w:rPr>
            </w:pPr>
          </w:p>
        </w:tc>
        <w:tc>
          <w:tcPr>
            <w:tcW w:w="2478" w:type="dxa"/>
            <w:vMerge w:val="continue"/>
            <w:tcBorders>
              <w:tl2br w:val="nil"/>
              <w:tr2bl w:val="nil"/>
            </w:tcBorders>
            <w:vAlign w:val="center"/>
          </w:tcPr>
          <w:p>
            <w:pPr>
              <w:snapToGrid w:val="0"/>
              <w:jc w:val="center"/>
              <w:rPr>
                <w:rFonts w:hint="eastAsia"/>
                <w:szCs w:val="21"/>
              </w:rPr>
            </w:pPr>
          </w:p>
        </w:tc>
        <w:tc>
          <w:tcPr>
            <w:tcW w:w="1522" w:type="dxa"/>
            <w:vMerge w:val="continue"/>
            <w:tcBorders>
              <w:tl2br w:val="nil"/>
              <w:tr2bl w:val="nil"/>
            </w:tcBorders>
            <w:vAlign w:val="center"/>
          </w:tcPr>
          <w:p>
            <w:pPr>
              <w:snapToGrid w:val="0"/>
              <w:jc w:val="center"/>
              <w:rPr>
                <w:rFonts w:hint="eastAsia"/>
                <w:szCs w:val="21"/>
                <w:lang w:eastAsia="zh-CN"/>
              </w:rPr>
            </w:pPr>
          </w:p>
        </w:tc>
        <w:tc>
          <w:tcPr>
            <w:tcW w:w="1934" w:type="dxa"/>
            <w:tcBorders>
              <w:tl2br w:val="nil"/>
              <w:tr2bl w:val="nil"/>
            </w:tcBorders>
            <w:vAlign w:val="center"/>
          </w:tcPr>
          <w:p>
            <w:pPr>
              <w:widowControl/>
              <w:snapToGrid w:val="0"/>
              <w:jc w:val="center"/>
              <w:rPr>
                <w:rFonts w:hint="eastAsia" w:eastAsia="宋体"/>
                <w:szCs w:val="21"/>
                <w:lang w:eastAsia="zh-CN"/>
              </w:rPr>
            </w:pPr>
            <w:r>
              <w:rPr>
                <w:rFonts w:hint="eastAsia"/>
                <w:szCs w:val="21"/>
                <w:lang w:eastAsia="zh-CN"/>
              </w:rPr>
              <w:t>氯离子</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800</w:t>
            </w:r>
          </w:p>
        </w:tc>
        <w:tc>
          <w:tcPr>
            <w:tcW w:w="893" w:type="dxa"/>
            <w:vMerge w:val="continue"/>
            <w:tcBorders>
              <w:tl2br w:val="nil"/>
              <w:tr2bl w:val="nil"/>
            </w:tcBorders>
            <w:vAlign w:val="center"/>
          </w:tcPr>
          <w:p>
            <w:pPr>
              <w:snapToGrid w:val="0"/>
              <w:ind w:firstLine="210" w:firstLineChars="10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ind w:firstLine="210" w:firstLineChars="100"/>
              <w:jc w:val="center"/>
              <w:rPr>
                <w:szCs w:val="21"/>
              </w:rPr>
            </w:pPr>
          </w:p>
        </w:tc>
        <w:tc>
          <w:tcPr>
            <w:tcW w:w="2478" w:type="dxa"/>
            <w:vMerge w:val="continue"/>
            <w:tcBorders>
              <w:tl2br w:val="nil"/>
              <w:tr2bl w:val="nil"/>
            </w:tcBorders>
            <w:vAlign w:val="center"/>
          </w:tcPr>
          <w:p>
            <w:pPr>
              <w:snapToGrid w:val="0"/>
              <w:jc w:val="center"/>
              <w:rPr>
                <w:rFonts w:hint="eastAsia"/>
                <w:szCs w:val="21"/>
              </w:rPr>
            </w:pPr>
          </w:p>
        </w:tc>
        <w:tc>
          <w:tcPr>
            <w:tcW w:w="1522" w:type="dxa"/>
            <w:vMerge w:val="continue"/>
            <w:tcBorders>
              <w:tl2br w:val="nil"/>
              <w:tr2bl w:val="nil"/>
            </w:tcBorders>
            <w:vAlign w:val="center"/>
          </w:tcPr>
          <w:p>
            <w:pPr>
              <w:snapToGrid w:val="0"/>
              <w:jc w:val="center"/>
              <w:rPr>
                <w:rFonts w:hint="eastAsia"/>
                <w:szCs w:val="21"/>
                <w:lang w:eastAsia="zh-CN"/>
              </w:rPr>
            </w:pPr>
          </w:p>
        </w:tc>
        <w:tc>
          <w:tcPr>
            <w:tcW w:w="1934" w:type="dxa"/>
            <w:tcBorders>
              <w:tl2br w:val="nil"/>
              <w:tr2bl w:val="nil"/>
            </w:tcBorders>
            <w:vAlign w:val="center"/>
          </w:tcPr>
          <w:p>
            <w:pPr>
              <w:widowControl/>
              <w:snapToGrid w:val="0"/>
              <w:jc w:val="center"/>
              <w:rPr>
                <w:rFonts w:hint="eastAsia" w:eastAsia="宋体"/>
                <w:szCs w:val="21"/>
                <w:lang w:eastAsia="zh-CN"/>
              </w:rPr>
            </w:pPr>
            <w:r>
              <w:rPr>
                <w:rFonts w:hint="eastAsia"/>
                <w:szCs w:val="21"/>
                <w:lang w:eastAsia="zh-CN"/>
              </w:rPr>
              <w:t>溶解性总固体</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20000</w:t>
            </w:r>
          </w:p>
        </w:tc>
        <w:tc>
          <w:tcPr>
            <w:tcW w:w="893" w:type="dxa"/>
            <w:vMerge w:val="continue"/>
            <w:tcBorders>
              <w:tl2br w:val="nil"/>
              <w:tr2bl w:val="nil"/>
            </w:tcBorders>
            <w:vAlign w:val="center"/>
          </w:tcPr>
          <w:p>
            <w:pPr>
              <w:snapToGrid w:val="0"/>
              <w:ind w:firstLine="210" w:firstLineChars="10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43" w:hRule="atLeast"/>
        </w:trPr>
        <w:tc>
          <w:tcPr>
            <w:tcW w:w="787" w:type="dxa"/>
            <w:vMerge w:val="continue"/>
            <w:tcBorders>
              <w:tl2br w:val="nil"/>
              <w:tr2bl w:val="nil"/>
            </w:tcBorders>
            <w:vAlign w:val="center"/>
          </w:tcPr>
          <w:p>
            <w:pPr>
              <w:snapToGrid w:val="0"/>
              <w:ind w:firstLine="210" w:firstLineChars="100"/>
              <w:jc w:val="center"/>
              <w:rPr>
                <w:szCs w:val="21"/>
              </w:rPr>
            </w:pPr>
          </w:p>
        </w:tc>
        <w:tc>
          <w:tcPr>
            <w:tcW w:w="2478" w:type="dxa"/>
            <w:vMerge w:val="continue"/>
            <w:tcBorders>
              <w:tl2br w:val="nil"/>
              <w:tr2bl w:val="nil"/>
            </w:tcBorders>
            <w:vAlign w:val="center"/>
          </w:tcPr>
          <w:p>
            <w:pPr>
              <w:snapToGrid w:val="0"/>
              <w:jc w:val="center"/>
              <w:rPr>
                <w:rFonts w:hint="eastAsia"/>
                <w:szCs w:val="21"/>
              </w:rPr>
            </w:pPr>
          </w:p>
        </w:tc>
        <w:tc>
          <w:tcPr>
            <w:tcW w:w="1522" w:type="dxa"/>
            <w:vMerge w:val="continue"/>
            <w:tcBorders>
              <w:tl2br w:val="nil"/>
              <w:tr2bl w:val="nil"/>
            </w:tcBorders>
            <w:vAlign w:val="center"/>
          </w:tcPr>
          <w:p>
            <w:pPr>
              <w:snapToGrid w:val="0"/>
              <w:jc w:val="center"/>
              <w:rPr>
                <w:rFonts w:hint="eastAsia"/>
                <w:szCs w:val="21"/>
                <w:lang w:eastAsia="zh-CN"/>
              </w:rPr>
            </w:pPr>
          </w:p>
        </w:tc>
        <w:tc>
          <w:tcPr>
            <w:tcW w:w="1934" w:type="dxa"/>
            <w:tcBorders>
              <w:tl2br w:val="nil"/>
              <w:tr2bl w:val="nil"/>
            </w:tcBorders>
            <w:vAlign w:val="center"/>
          </w:tcPr>
          <w:p>
            <w:pPr>
              <w:widowControl/>
              <w:snapToGrid w:val="0"/>
              <w:jc w:val="center"/>
              <w:rPr>
                <w:rFonts w:hint="eastAsia"/>
                <w:szCs w:val="21"/>
                <w:lang w:eastAsia="zh-CN"/>
              </w:rPr>
            </w:pPr>
            <w:r>
              <w:rPr>
                <w:rFonts w:hint="eastAsia"/>
                <w:szCs w:val="21"/>
                <w:lang w:eastAsia="zh-CN"/>
              </w:rPr>
              <w:t>总铁</w:t>
            </w:r>
          </w:p>
        </w:tc>
        <w:tc>
          <w:tcPr>
            <w:tcW w:w="915" w:type="dxa"/>
            <w:tcBorders>
              <w:tl2br w:val="nil"/>
              <w:tr2bl w:val="nil"/>
            </w:tcBorders>
            <w:vAlign w:val="center"/>
          </w:tcPr>
          <w:p>
            <w:pPr>
              <w:snapToGrid w:val="0"/>
              <w:jc w:val="center"/>
              <w:rPr>
                <w:rFonts w:hint="eastAsia"/>
                <w:szCs w:val="21"/>
                <w:lang w:val="en-US" w:eastAsia="zh-CN"/>
              </w:rPr>
            </w:pPr>
            <w:r>
              <w:rPr>
                <w:rFonts w:hint="eastAsia"/>
                <w:szCs w:val="21"/>
                <w:lang w:val="en-US" w:eastAsia="zh-CN"/>
              </w:rPr>
              <w:t>10</w:t>
            </w:r>
          </w:p>
        </w:tc>
        <w:tc>
          <w:tcPr>
            <w:tcW w:w="893" w:type="dxa"/>
            <w:vMerge w:val="continue"/>
            <w:tcBorders>
              <w:tl2br w:val="nil"/>
              <w:tr2bl w:val="nil"/>
            </w:tcBorders>
            <w:vAlign w:val="center"/>
          </w:tcPr>
          <w:p>
            <w:pPr>
              <w:snapToGrid w:val="0"/>
              <w:ind w:firstLine="210" w:firstLineChars="10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restart"/>
            <w:tcBorders>
              <w:tl2br w:val="nil"/>
              <w:tr2bl w:val="nil"/>
            </w:tcBorders>
            <w:vAlign w:val="center"/>
          </w:tcPr>
          <w:p>
            <w:pPr>
              <w:snapToGrid w:val="0"/>
              <w:ind w:firstLine="105" w:firstLineChars="50"/>
              <w:jc w:val="center"/>
              <w:rPr>
                <w:rFonts w:hint="eastAsia" w:eastAsia="宋体"/>
                <w:szCs w:val="21"/>
                <w:lang w:eastAsia="zh-CN"/>
              </w:rPr>
            </w:pPr>
            <w:r>
              <w:rPr>
                <w:rFonts w:hint="eastAsia"/>
                <w:szCs w:val="21"/>
                <w:lang w:eastAsia="zh-CN"/>
              </w:rPr>
              <w:t>地下水</w:t>
            </w:r>
          </w:p>
        </w:tc>
        <w:tc>
          <w:tcPr>
            <w:tcW w:w="2478" w:type="dxa"/>
            <w:vMerge w:val="restart"/>
            <w:tcBorders>
              <w:tl2br w:val="nil"/>
              <w:tr2bl w:val="nil"/>
            </w:tcBorders>
            <w:vAlign w:val="center"/>
          </w:tcPr>
          <w:p>
            <w:pPr>
              <w:snapToGrid w:val="0"/>
              <w:jc w:val="center"/>
              <w:rPr>
                <w:szCs w:val="21"/>
              </w:rPr>
            </w:pPr>
            <w:r>
              <w:rPr>
                <w:rFonts w:hint="eastAsia"/>
                <w:szCs w:val="21"/>
                <w:lang w:val="en-US" w:eastAsia="zh-CN"/>
              </w:rPr>
              <w:t>《地下水环境质量标准》</w:t>
            </w:r>
          </w:p>
          <w:p>
            <w:pPr>
              <w:snapToGrid w:val="0"/>
              <w:ind w:firstLine="105" w:firstLineChars="50"/>
              <w:jc w:val="center"/>
              <w:rPr>
                <w:rFonts w:hint="eastAsia"/>
                <w:szCs w:val="21"/>
                <w:lang w:val="en-US" w:eastAsia="zh-CN"/>
              </w:rPr>
            </w:pPr>
            <w:r>
              <w:rPr>
                <w:rFonts w:hint="eastAsia"/>
                <w:szCs w:val="21"/>
                <w:lang w:val="en-US" w:eastAsia="zh-CN"/>
              </w:rPr>
              <w:t>（GB/T14848-2017）</w:t>
            </w:r>
          </w:p>
        </w:tc>
        <w:tc>
          <w:tcPr>
            <w:tcW w:w="1522" w:type="dxa"/>
            <w:vMerge w:val="restart"/>
            <w:tcBorders>
              <w:tl2br w:val="nil"/>
              <w:tr2bl w:val="nil"/>
            </w:tcBorders>
            <w:vAlign w:val="center"/>
          </w:tcPr>
          <w:p>
            <w:pPr>
              <w:widowControl/>
              <w:snapToGrid w:val="0"/>
              <w:jc w:val="center"/>
              <w:rPr>
                <w:szCs w:val="21"/>
              </w:rPr>
            </w:pPr>
            <w:r>
              <w:rPr>
                <w:rFonts w:hint="default" w:ascii="Times New Roman" w:hAnsi="Times New Roman" w:cs="Times New Roman"/>
                <w:szCs w:val="21"/>
                <w:lang w:val="en-US" w:eastAsia="zh-CN"/>
              </w:rPr>
              <w:t>III</w:t>
            </w:r>
            <w:r>
              <w:rPr>
                <w:rFonts w:hint="eastAsia"/>
                <w:szCs w:val="21"/>
                <w:lang w:val="en-US" w:eastAsia="zh-CN"/>
              </w:rPr>
              <w:t>类标准</w:t>
            </w:r>
          </w:p>
        </w:tc>
        <w:tc>
          <w:tcPr>
            <w:tcW w:w="1934"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pH</w:t>
            </w:r>
          </w:p>
        </w:tc>
        <w:tc>
          <w:tcPr>
            <w:tcW w:w="915"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6.5-8.5</w:t>
            </w:r>
          </w:p>
        </w:tc>
        <w:tc>
          <w:tcPr>
            <w:tcW w:w="893"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val="en-US" w:eastAsia="zh-CN"/>
              </w:rPr>
            </w:pPr>
            <w:r>
              <w:rPr>
                <w:rFonts w:hint="eastAsia"/>
                <w:szCs w:val="21"/>
                <w:lang w:val="en-US" w:eastAsia="zh-CN"/>
              </w:rPr>
              <w:t>氨氮</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cs="Arial"/>
                <w:szCs w:val="21"/>
              </w:rPr>
              <w:t>≤</w:t>
            </w:r>
            <w:r>
              <w:rPr>
                <w:rFonts w:hint="eastAsia"/>
                <w:szCs w:val="21"/>
                <w:lang w:val="en-US" w:eastAsia="zh-CN"/>
              </w:rPr>
              <w:t>0.5</w:t>
            </w:r>
          </w:p>
        </w:tc>
        <w:tc>
          <w:tcPr>
            <w:tcW w:w="893" w:type="dxa"/>
            <w:vMerge w:val="restart"/>
            <w:tcBorders>
              <w:tl2br w:val="nil"/>
              <w:tr2bl w:val="nil"/>
            </w:tcBorders>
            <w:vAlign w:val="center"/>
          </w:tcPr>
          <w:p>
            <w:pPr>
              <w:snapToGrid w:val="0"/>
              <w:jc w:val="center"/>
              <w:rPr>
                <w:szCs w:val="21"/>
              </w:rPr>
            </w:pPr>
            <w:r>
              <w:rPr>
                <w:szCs w:val="21"/>
              </w:rPr>
              <w:t>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rFonts w:hint="eastAsia" w:eastAsia="宋体"/>
                <w:szCs w:val="21"/>
                <w:lang w:eastAsia="zh-CN"/>
              </w:rPr>
            </w:pPr>
          </w:p>
        </w:tc>
        <w:tc>
          <w:tcPr>
            <w:tcW w:w="1934" w:type="dxa"/>
            <w:tcBorders>
              <w:tl2br w:val="nil"/>
              <w:tr2bl w:val="nil"/>
            </w:tcBorders>
            <w:vAlign w:val="center"/>
          </w:tcPr>
          <w:p>
            <w:pPr>
              <w:snapToGrid w:val="0"/>
              <w:jc w:val="center"/>
              <w:rPr>
                <w:szCs w:val="21"/>
              </w:rPr>
            </w:pPr>
            <w:r>
              <w:rPr>
                <w:rFonts w:hint="eastAsia"/>
                <w:szCs w:val="21"/>
                <w:lang w:val="en-US" w:eastAsia="zh-CN"/>
              </w:rPr>
              <w:t>高锰酸盐指数</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3.0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硝酸盐</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20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亚硝酸盐</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1.0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硫酸盐</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250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硫化物</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0.02</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氯化物</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250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铁</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0.3</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总硬度</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450</w:t>
            </w:r>
          </w:p>
        </w:tc>
        <w:tc>
          <w:tcPr>
            <w:tcW w:w="893" w:type="dxa"/>
            <w:vMerge w:val="continue"/>
            <w:tcBorders>
              <w:tl2br w:val="nil"/>
              <w:tr2bl w:val="nil"/>
            </w:tcBorders>
            <w:vAlign w:val="center"/>
          </w:tcPr>
          <w:p>
            <w:pPr>
              <w:snapToGrid w:val="0"/>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cantSplit/>
          <w:trHeight w:val="425" w:hRule="atLeast"/>
        </w:trPr>
        <w:tc>
          <w:tcPr>
            <w:tcW w:w="787" w:type="dxa"/>
            <w:vMerge w:val="continue"/>
            <w:tcBorders>
              <w:tl2br w:val="nil"/>
              <w:tr2bl w:val="nil"/>
            </w:tcBorders>
            <w:vAlign w:val="center"/>
          </w:tcPr>
          <w:p>
            <w:pPr>
              <w:snapToGrid w:val="0"/>
              <w:jc w:val="center"/>
              <w:rPr>
                <w:szCs w:val="21"/>
              </w:rPr>
            </w:pPr>
          </w:p>
        </w:tc>
        <w:tc>
          <w:tcPr>
            <w:tcW w:w="2478" w:type="dxa"/>
            <w:vMerge w:val="continue"/>
            <w:tcBorders>
              <w:tl2br w:val="nil"/>
              <w:tr2bl w:val="nil"/>
            </w:tcBorders>
            <w:vAlign w:val="center"/>
          </w:tcPr>
          <w:p>
            <w:pPr>
              <w:snapToGrid w:val="0"/>
              <w:ind w:firstLine="105" w:firstLineChars="50"/>
              <w:jc w:val="center"/>
              <w:rPr>
                <w:szCs w:val="21"/>
              </w:rPr>
            </w:pPr>
          </w:p>
        </w:tc>
        <w:tc>
          <w:tcPr>
            <w:tcW w:w="1522" w:type="dxa"/>
            <w:vMerge w:val="continue"/>
            <w:tcBorders>
              <w:tl2br w:val="nil"/>
              <w:tr2bl w:val="nil"/>
            </w:tcBorders>
            <w:vAlign w:val="center"/>
          </w:tcPr>
          <w:p>
            <w:pPr>
              <w:widowControl/>
              <w:snapToGrid w:val="0"/>
              <w:jc w:val="center"/>
              <w:rPr>
                <w:szCs w:val="21"/>
              </w:rPr>
            </w:pPr>
          </w:p>
        </w:tc>
        <w:tc>
          <w:tcPr>
            <w:tcW w:w="1934" w:type="dxa"/>
            <w:tcBorders>
              <w:tl2br w:val="nil"/>
              <w:tr2bl w:val="nil"/>
            </w:tcBorders>
            <w:vAlign w:val="center"/>
          </w:tcPr>
          <w:p>
            <w:pPr>
              <w:snapToGrid w:val="0"/>
              <w:jc w:val="center"/>
              <w:rPr>
                <w:rFonts w:hint="eastAsia" w:eastAsia="宋体"/>
                <w:szCs w:val="21"/>
                <w:lang w:eastAsia="zh-CN"/>
              </w:rPr>
            </w:pPr>
            <w:r>
              <w:rPr>
                <w:rFonts w:hint="eastAsia"/>
                <w:szCs w:val="21"/>
                <w:lang w:eastAsia="zh-CN"/>
              </w:rPr>
              <w:t>溶解性总固体</w:t>
            </w:r>
          </w:p>
        </w:tc>
        <w:tc>
          <w:tcPr>
            <w:tcW w:w="915" w:type="dxa"/>
            <w:tcBorders>
              <w:tl2br w:val="nil"/>
              <w:tr2bl w:val="nil"/>
            </w:tcBorders>
            <w:vAlign w:val="center"/>
          </w:tcPr>
          <w:p>
            <w:pPr>
              <w:snapToGrid w:val="0"/>
              <w:jc w:val="center"/>
              <w:rPr>
                <w:rFonts w:hint="eastAsia" w:eastAsia="宋体"/>
                <w:szCs w:val="21"/>
                <w:lang w:val="en-US" w:eastAsia="zh-CN"/>
              </w:rPr>
            </w:pPr>
            <w:r>
              <w:rPr>
                <w:rFonts w:hint="default" w:ascii="Arial" w:hAnsi="Arial" w:eastAsia="宋体" w:cs="Arial"/>
                <w:szCs w:val="21"/>
                <w:lang w:val="en-US" w:eastAsia="zh-CN"/>
              </w:rPr>
              <w:t>≤</w:t>
            </w:r>
            <w:r>
              <w:rPr>
                <w:rFonts w:hint="eastAsia"/>
                <w:szCs w:val="21"/>
                <w:lang w:val="en-US" w:eastAsia="zh-CN"/>
              </w:rPr>
              <w:t>1000</w:t>
            </w:r>
          </w:p>
        </w:tc>
        <w:tc>
          <w:tcPr>
            <w:tcW w:w="893" w:type="dxa"/>
            <w:vMerge w:val="continue"/>
            <w:tcBorders>
              <w:tl2br w:val="nil"/>
              <w:tr2bl w:val="nil"/>
            </w:tcBorders>
            <w:vAlign w:val="center"/>
          </w:tcPr>
          <w:p>
            <w:pPr>
              <w:snapToGrid w:val="0"/>
              <w:jc w:val="center"/>
              <w:rPr>
                <w:szCs w:val="21"/>
              </w:rPr>
            </w:pPr>
          </w:p>
        </w:tc>
      </w:tr>
    </w:tbl>
    <w:p>
      <w:pPr>
        <w:pStyle w:val="4"/>
        <w:jc w:val="both"/>
        <w:rPr>
          <w:rFonts w:cs="Times New Roman"/>
          <w:sz w:val="28"/>
          <w:szCs w:val="28"/>
        </w:rPr>
      </w:pPr>
      <w:r>
        <w:rPr>
          <w:rFonts w:cs="Times New Roman"/>
          <w:sz w:val="28"/>
          <w:szCs w:val="28"/>
        </w:rPr>
        <w:br w:type="page"/>
      </w:r>
    </w:p>
    <w:p>
      <w:pPr>
        <w:pStyle w:val="4"/>
        <w:jc w:val="both"/>
        <w:rPr>
          <w:rFonts w:cs="Times New Roman"/>
          <w:sz w:val="28"/>
          <w:szCs w:val="28"/>
        </w:rPr>
      </w:pPr>
      <w:bookmarkStart w:id="194" w:name="_Toc406"/>
      <w:r>
        <w:rPr>
          <w:rFonts w:cs="Times New Roman"/>
          <w:sz w:val="28"/>
          <w:szCs w:val="28"/>
        </w:rPr>
        <w:t>7 验收监测内容</w:t>
      </w:r>
      <w:bookmarkEnd w:id="191"/>
      <w:bookmarkEnd w:id="192"/>
      <w:bookmarkEnd w:id="193"/>
      <w:bookmarkEnd w:id="194"/>
    </w:p>
    <w:p>
      <w:pPr>
        <w:pStyle w:val="5"/>
        <w:spacing w:beforeLines="50"/>
        <w:rPr>
          <w:rFonts w:ascii="Times New Roman" w:hAnsi="Times New Roman" w:cs="Times New Roman"/>
          <w:sz w:val="24"/>
          <w:szCs w:val="24"/>
        </w:rPr>
      </w:pPr>
      <w:bookmarkStart w:id="195" w:name="_Toc5563"/>
      <w:bookmarkStart w:id="196" w:name="_Toc210190255"/>
      <w:bookmarkStart w:id="197" w:name="_Toc206728843"/>
      <w:bookmarkStart w:id="198" w:name="_Toc249173001"/>
      <w:r>
        <w:rPr>
          <w:rFonts w:ascii="Times New Roman" w:hAnsi="Times New Roman" w:cs="Times New Roman"/>
          <w:sz w:val="24"/>
          <w:szCs w:val="24"/>
        </w:rPr>
        <w:t>7.1环境保护设施调试运行效果</w:t>
      </w:r>
      <w:bookmarkEnd w:id="195"/>
    </w:p>
    <w:p>
      <w:pPr>
        <w:spacing w:line="360" w:lineRule="auto"/>
        <w:ind w:firstLine="480"/>
        <w:rPr>
          <w:rFonts w:ascii="Times New Roman" w:hAnsi="Times New Roman" w:cs="Times New Roman"/>
          <w:sz w:val="24"/>
        </w:rPr>
      </w:pPr>
      <w:r>
        <w:rPr>
          <w:rFonts w:ascii="Times New Roman" w:hAnsi="Times New Roman" w:cs="Times New Roman"/>
          <w:sz w:val="24"/>
        </w:rPr>
        <w:t>通过对各类污染物排放及各类污染治理设施处理效率的监测，来说明环境保护设施调试运行效果，具体监测内容如下：</w:t>
      </w:r>
    </w:p>
    <w:bookmarkEnd w:id="196"/>
    <w:bookmarkEnd w:id="197"/>
    <w:p>
      <w:pPr>
        <w:pStyle w:val="5"/>
        <w:rPr>
          <w:rFonts w:ascii="Times New Roman" w:hAnsi="Times New Roman" w:cs="Times New Roman"/>
          <w:sz w:val="24"/>
          <w:szCs w:val="24"/>
        </w:rPr>
      </w:pPr>
      <w:bookmarkStart w:id="199" w:name="_Toc427247783"/>
      <w:bookmarkStart w:id="200" w:name="_Toc25598"/>
      <w:r>
        <w:rPr>
          <w:rFonts w:ascii="Times New Roman" w:hAnsi="Times New Roman" w:cs="Times New Roman"/>
          <w:sz w:val="24"/>
          <w:szCs w:val="24"/>
        </w:rPr>
        <w:t>7.1.</w:t>
      </w:r>
      <w:bookmarkEnd w:id="199"/>
      <w:r>
        <w:rPr>
          <w:rFonts w:ascii="Times New Roman" w:hAnsi="Times New Roman" w:cs="Times New Roman"/>
          <w:sz w:val="24"/>
          <w:szCs w:val="24"/>
        </w:rPr>
        <w:t>1</w:t>
      </w:r>
      <w:r>
        <w:rPr>
          <w:rFonts w:hint="eastAsia" w:ascii="Times New Roman" w:hAnsi="Times New Roman" w:cs="Times New Roman"/>
          <w:sz w:val="24"/>
          <w:szCs w:val="24"/>
          <w:lang w:eastAsia="zh-CN"/>
        </w:rPr>
        <w:t>废气无组织</w:t>
      </w:r>
      <w:r>
        <w:rPr>
          <w:rFonts w:ascii="Times New Roman" w:hAnsi="Times New Roman" w:cs="Times New Roman"/>
          <w:sz w:val="24"/>
          <w:szCs w:val="24"/>
        </w:rPr>
        <w:t>监测</w:t>
      </w:r>
      <w:bookmarkEnd w:id="200"/>
    </w:p>
    <w:p>
      <w:pPr>
        <w:spacing w:line="360" w:lineRule="auto"/>
        <w:ind w:firstLine="420"/>
        <w:rPr>
          <w:rFonts w:ascii="Times New Roman" w:hAnsi="Times New Roman" w:cs="Times New Roman"/>
          <w:sz w:val="24"/>
        </w:rPr>
      </w:pPr>
      <w:bookmarkStart w:id="201" w:name="_Toc427247785"/>
      <w:r>
        <w:rPr>
          <w:rFonts w:ascii="Times New Roman" w:hAnsi="Times New Roman" w:cs="Times New Roman"/>
          <w:sz w:val="24"/>
        </w:rPr>
        <w:t>监测点位：</w:t>
      </w:r>
      <w:r>
        <w:rPr>
          <w:rFonts w:hint="eastAsia"/>
          <w:sz w:val="24"/>
        </w:rPr>
        <w:t>项目所在厂界周围共设4个监测点，其中</w:t>
      </w:r>
      <w:r>
        <w:rPr>
          <w:rFonts w:hint="eastAsia"/>
          <w:sz w:val="24"/>
          <w:lang w:eastAsia="zh-CN"/>
        </w:rPr>
        <w:t>废水处理站</w:t>
      </w:r>
      <w:r>
        <w:rPr>
          <w:rFonts w:hint="eastAsia"/>
          <w:sz w:val="24"/>
        </w:rPr>
        <w:t>上风向厂界外10m设1个参照点，厂界外下风向10m内扇形布设3个点。</w:t>
      </w:r>
      <w:r>
        <w:rPr>
          <w:rFonts w:ascii="Times New Roman" w:hAnsi="Times New Roman" w:cs="Times New Roman"/>
          <w:sz w:val="24"/>
        </w:rPr>
        <w:t>监测点位图见图7.1-1。</w:t>
      </w:r>
      <w:r>
        <w:rPr>
          <w:rFonts w:ascii="Times New Roman" w:hAnsi="Times New Roman" w:cs="Times New Roman"/>
          <w:sz w:val="24"/>
        </w:rPr>
        <w:object>
          <v:shape id="_x0000_i1048" o:spt="75" type="#_x0000_t75" style="height:268.05pt;width:414.95pt;" o:ole="t" filled="f" o:preferrelative="t" stroked="f" coordsize="21600,21600">
            <v:path/>
            <v:fill on="f" focussize="0,0"/>
            <v:stroke on="f"/>
            <v:imagedata r:id="rId55" o:title=""/>
            <o:lock v:ext="edit" aspectratio="f"/>
            <w10:wrap type="none"/>
            <w10:anchorlock/>
          </v:shape>
          <o:OLEObject Type="Embed" ProgID="Visio.Drawing.11" ShapeID="_x0000_i1048" DrawAspect="Content" ObjectID="_1468075730" r:id="rId54">
            <o:LockedField>false</o:LockedField>
          </o:OLEObject>
        </w:object>
      </w:r>
    </w:p>
    <w:p>
      <w:pPr>
        <w:spacing w:line="360" w:lineRule="auto"/>
        <w:ind w:firstLine="480"/>
        <w:jc w:val="center"/>
        <w:rPr>
          <w:rFonts w:ascii="Times New Roman" w:hAnsi="Times New Roman" w:cs="Times New Roman"/>
          <w:b/>
          <w:sz w:val="24"/>
        </w:rPr>
      </w:pPr>
      <w:r>
        <w:rPr>
          <w:rFonts w:ascii="Times New Roman" w:hAnsi="Times New Roman" w:cs="Times New Roman"/>
          <w:b/>
          <w:sz w:val="24"/>
        </w:rPr>
        <w:t xml:space="preserve">图7.1-1    </w:t>
      </w:r>
      <w:r>
        <w:rPr>
          <w:rFonts w:hint="eastAsia" w:ascii="Times New Roman" w:hAnsi="Times New Roman" w:cs="Times New Roman"/>
          <w:b/>
          <w:sz w:val="24"/>
          <w:lang w:eastAsia="zh-CN"/>
        </w:rPr>
        <w:t>废气无组织排放</w:t>
      </w:r>
      <w:r>
        <w:rPr>
          <w:rFonts w:ascii="Times New Roman" w:hAnsi="Times New Roman" w:cs="Times New Roman"/>
          <w:b/>
          <w:sz w:val="24"/>
        </w:rPr>
        <w:t>监测点位图</w:t>
      </w:r>
    </w:p>
    <w:p>
      <w:pPr>
        <w:spacing w:line="360" w:lineRule="auto"/>
        <w:ind w:firstLine="480"/>
        <w:rPr>
          <w:rFonts w:ascii="Times New Roman" w:hAnsi="Times New Roman" w:cs="Times New Roman"/>
          <w:sz w:val="24"/>
        </w:rPr>
      </w:pPr>
      <w:r>
        <w:rPr>
          <w:rFonts w:ascii="Times New Roman" w:hAnsi="Times New Roman" w:cs="Times New Roman"/>
          <w:sz w:val="24"/>
        </w:rPr>
        <w:t>监测项目：</w:t>
      </w:r>
      <w:r>
        <w:rPr>
          <w:rFonts w:hint="eastAsia"/>
          <w:sz w:val="24"/>
        </w:rPr>
        <w:t>氨气、硫化氢</w:t>
      </w:r>
      <w:r>
        <w:rPr>
          <w:rFonts w:ascii="Times New Roman" w:hAnsi="Times New Roman" w:cs="Times New Roman"/>
          <w:sz w:val="24"/>
        </w:rPr>
        <w:t>。</w:t>
      </w:r>
    </w:p>
    <w:p>
      <w:pPr>
        <w:spacing w:line="360" w:lineRule="auto"/>
        <w:ind w:firstLine="480"/>
        <w:rPr>
          <w:rFonts w:ascii="Times New Roman" w:hAnsi="Times New Roman" w:cs="Times New Roman"/>
          <w:sz w:val="24"/>
        </w:rPr>
      </w:pPr>
      <w:r>
        <w:rPr>
          <w:rFonts w:ascii="Times New Roman" w:hAnsi="Times New Roman" w:eastAsia="宋体" w:cs="Times New Roman"/>
          <w:sz w:val="24"/>
        </w:rPr>
        <w:t>监测频次：</w:t>
      </w:r>
      <w:r>
        <w:rPr>
          <w:rFonts w:hint="eastAsia"/>
          <w:sz w:val="24"/>
        </w:rPr>
        <w:t>每天监测4次，连续监测2天</w:t>
      </w:r>
      <w:r>
        <w:rPr>
          <w:rFonts w:ascii="Times New Roman" w:hAnsi="Times New Roman" w:eastAsia="宋体" w:cs="Times New Roman"/>
          <w:sz w:val="24"/>
        </w:rPr>
        <w:t>。</w:t>
      </w:r>
    </w:p>
    <w:p>
      <w:pPr>
        <w:pStyle w:val="5"/>
        <w:spacing w:beforeLines="50"/>
        <w:rPr>
          <w:rFonts w:ascii="Times New Roman" w:hAnsi="Times New Roman" w:cs="Times New Roman"/>
          <w:sz w:val="24"/>
          <w:szCs w:val="24"/>
        </w:rPr>
      </w:pPr>
      <w:bookmarkStart w:id="202" w:name="_Toc27858"/>
      <w:r>
        <w:rPr>
          <w:rFonts w:ascii="Times New Roman" w:hAnsi="Times New Roman" w:cs="Times New Roman"/>
          <w:sz w:val="24"/>
          <w:szCs w:val="24"/>
        </w:rPr>
        <w:t>7.1.2</w:t>
      </w:r>
      <w:bookmarkEnd w:id="201"/>
      <w:r>
        <w:rPr>
          <w:rFonts w:hint="eastAsia" w:ascii="Times New Roman" w:hAnsi="Times New Roman" w:cs="Times New Roman"/>
          <w:sz w:val="24"/>
          <w:szCs w:val="24"/>
          <w:lang w:eastAsia="zh-CN"/>
        </w:rPr>
        <w:t>废水及中水进出口</w:t>
      </w:r>
      <w:bookmarkEnd w:id="202"/>
      <w:r>
        <w:rPr>
          <w:rFonts w:hint="eastAsia" w:ascii="Times New Roman" w:hAnsi="Times New Roman" w:cs="Times New Roman"/>
          <w:sz w:val="24"/>
          <w:szCs w:val="24"/>
          <w:lang w:eastAsia="zh-CN"/>
        </w:rPr>
        <w:t>水质监测</w:t>
      </w:r>
    </w:p>
    <w:bookmarkEnd w:id="198"/>
    <w:p>
      <w:pPr>
        <w:spacing w:line="360" w:lineRule="auto"/>
        <w:ind w:firstLine="480"/>
        <w:rPr>
          <w:rFonts w:hint="eastAsia"/>
          <w:sz w:val="24"/>
          <w:lang w:eastAsia="zh-CN"/>
        </w:rPr>
      </w:pPr>
      <w:bookmarkStart w:id="203" w:name="_Toc31857"/>
      <w:bookmarkStart w:id="204" w:name="_Toc427247786"/>
      <w:bookmarkStart w:id="205" w:name="_Toc157703448"/>
      <w:bookmarkStart w:id="206" w:name="_Toc249173006"/>
      <w:bookmarkStart w:id="207" w:name="_Toc210190258"/>
      <w:bookmarkStart w:id="208" w:name="_Toc206728847"/>
      <w:bookmarkStart w:id="209" w:name="_Toc161134494"/>
      <w:r>
        <w:rPr>
          <w:rFonts w:hint="eastAsia"/>
          <w:sz w:val="24"/>
          <w:lang w:eastAsia="zh-CN"/>
        </w:rPr>
        <w:t>（</w:t>
      </w:r>
      <w:r>
        <w:rPr>
          <w:rFonts w:hint="eastAsia"/>
          <w:sz w:val="24"/>
          <w:lang w:val="en-US" w:eastAsia="zh-CN"/>
        </w:rPr>
        <w:t>1</w:t>
      </w:r>
      <w:r>
        <w:rPr>
          <w:rFonts w:hint="eastAsia"/>
          <w:sz w:val="24"/>
          <w:lang w:eastAsia="zh-CN"/>
        </w:rPr>
        <w:t>）废水处理站</w:t>
      </w:r>
    </w:p>
    <w:p>
      <w:pPr>
        <w:spacing w:line="360" w:lineRule="auto"/>
        <w:ind w:firstLine="480"/>
        <w:rPr>
          <w:rFonts w:hint="eastAsia"/>
        </w:rPr>
      </w:pPr>
      <w:r>
        <w:rPr>
          <w:rFonts w:hint="eastAsia"/>
          <w:sz w:val="24"/>
        </w:rPr>
        <w:t>监测点位：在</w:t>
      </w:r>
      <w:r>
        <w:rPr>
          <w:rFonts w:hint="eastAsia"/>
          <w:sz w:val="24"/>
          <w:lang w:eastAsia="zh-CN"/>
        </w:rPr>
        <w:t>废</w:t>
      </w:r>
      <w:r>
        <w:rPr>
          <w:rFonts w:hint="eastAsia"/>
          <w:sz w:val="24"/>
        </w:rPr>
        <w:t>水处理站的进口、出口分别布设1个监测点位。</w:t>
      </w:r>
    </w:p>
    <w:p>
      <w:pPr>
        <w:spacing w:line="360" w:lineRule="auto"/>
        <w:ind w:firstLine="480"/>
        <w:rPr>
          <w:rFonts w:hint="eastAsia"/>
          <w:sz w:val="24"/>
        </w:rPr>
      </w:pPr>
      <w:r>
        <w:rPr>
          <w:rFonts w:hint="eastAsia"/>
          <w:sz w:val="24"/>
        </w:rPr>
        <w:t>监测因子：pH值、COD、BOD</w:t>
      </w:r>
      <w:r>
        <w:rPr>
          <w:rFonts w:hint="eastAsia"/>
          <w:sz w:val="24"/>
          <w:vertAlign w:val="subscript"/>
        </w:rPr>
        <w:t>5</w:t>
      </w:r>
      <w:r>
        <w:rPr>
          <w:rFonts w:hint="eastAsia"/>
          <w:sz w:val="24"/>
        </w:rPr>
        <w:t>、氨氮、总氮、总磷、SS、</w:t>
      </w:r>
      <w:r>
        <w:rPr>
          <w:rFonts w:hint="eastAsia"/>
          <w:sz w:val="24"/>
          <w:lang w:eastAsia="zh-CN"/>
        </w:rPr>
        <w:t>石油类、氯离子、总硬度、总碱度、溶解性固体、硫化物</w:t>
      </w:r>
      <w:r>
        <w:rPr>
          <w:rFonts w:hint="eastAsia"/>
          <w:sz w:val="24"/>
        </w:rPr>
        <w:t>。</w:t>
      </w:r>
    </w:p>
    <w:p>
      <w:pPr>
        <w:spacing w:line="360" w:lineRule="auto"/>
        <w:ind w:firstLine="480"/>
        <w:rPr>
          <w:rFonts w:hint="eastAsia"/>
          <w:sz w:val="24"/>
          <w:szCs w:val="24"/>
        </w:rPr>
      </w:pPr>
      <w:r>
        <w:rPr>
          <w:rFonts w:hint="eastAsia"/>
          <w:sz w:val="24"/>
          <w:szCs w:val="24"/>
        </w:rPr>
        <w:t>监测频次：每天监测4次，连续监测2天。</w:t>
      </w:r>
    </w:p>
    <w:p>
      <w:pPr>
        <w:numPr>
          <w:ilvl w:val="0"/>
          <w:numId w:val="7"/>
        </w:numPr>
        <w:spacing w:line="360" w:lineRule="auto"/>
        <w:ind w:firstLine="480"/>
        <w:rPr>
          <w:rFonts w:hint="eastAsia"/>
          <w:sz w:val="24"/>
          <w:szCs w:val="24"/>
          <w:lang w:eastAsia="zh-CN"/>
        </w:rPr>
      </w:pPr>
      <w:r>
        <w:rPr>
          <w:rFonts w:hint="eastAsia"/>
          <w:sz w:val="24"/>
          <w:szCs w:val="24"/>
          <w:lang w:eastAsia="zh-CN"/>
        </w:rPr>
        <w:t>中水处理系统</w:t>
      </w:r>
    </w:p>
    <w:p>
      <w:pPr>
        <w:spacing w:line="360" w:lineRule="auto"/>
        <w:ind w:firstLine="480"/>
        <w:rPr>
          <w:rFonts w:hint="eastAsia"/>
        </w:rPr>
      </w:pPr>
      <w:r>
        <w:rPr>
          <w:rFonts w:hint="eastAsia"/>
          <w:sz w:val="24"/>
        </w:rPr>
        <w:t>监测点位：在</w:t>
      </w:r>
      <w:r>
        <w:rPr>
          <w:rFonts w:hint="eastAsia"/>
          <w:sz w:val="24"/>
          <w:lang w:eastAsia="zh-CN"/>
        </w:rPr>
        <w:t>中水处理系统</w:t>
      </w:r>
      <w:r>
        <w:rPr>
          <w:rFonts w:hint="eastAsia"/>
          <w:sz w:val="24"/>
        </w:rPr>
        <w:t>的进口、出口分别布设1个监测点位。</w:t>
      </w:r>
    </w:p>
    <w:p>
      <w:pPr>
        <w:spacing w:line="360" w:lineRule="auto"/>
        <w:ind w:firstLine="480"/>
        <w:rPr>
          <w:rFonts w:hint="eastAsia"/>
          <w:sz w:val="24"/>
        </w:rPr>
      </w:pPr>
      <w:r>
        <w:rPr>
          <w:rFonts w:hint="eastAsia"/>
          <w:sz w:val="24"/>
        </w:rPr>
        <w:t>监测因子：pH值、COD、BOD</w:t>
      </w:r>
      <w:r>
        <w:rPr>
          <w:rFonts w:hint="eastAsia"/>
          <w:sz w:val="24"/>
          <w:vertAlign w:val="subscript"/>
        </w:rPr>
        <w:t>5</w:t>
      </w:r>
      <w:r>
        <w:rPr>
          <w:rFonts w:hint="eastAsia"/>
          <w:sz w:val="24"/>
        </w:rPr>
        <w:t>、氨氮、总氮、总磷、SS、</w:t>
      </w:r>
      <w:r>
        <w:rPr>
          <w:rFonts w:hint="eastAsia"/>
          <w:sz w:val="24"/>
          <w:lang w:eastAsia="zh-CN"/>
        </w:rPr>
        <w:t>石油类、氯离子、总硬度、总碱度、浊度、总铁</w:t>
      </w:r>
      <w:r>
        <w:rPr>
          <w:rFonts w:hint="eastAsia"/>
          <w:sz w:val="24"/>
        </w:rPr>
        <w:t>。</w:t>
      </w:r>
    </w:p>
    <w:p>
      <w:pPr>
        <w:numPr>
          <w:ilvl w:val="0"/>
          <w:numId w:val="0"/>
        </w:numPr>
        <w:spacing w:line="360" w:lineRule="auto"/>
        <w:ind w:firstLine="480" w:firstLineChars="200"/>
        <w:rPr>
          <w:rFonts w:hint="eastAsia"/>
          <w:sz w:val="24"/>
          <w:szCs w:val="24"/>
          <w:lang w:val="en-US" w:eastAsia="zh-CN"/>
        </w:rPr>
      </w:pPr>
      <w:r>
        <w:rPr>
          <w:rFonts w:hint="eastAsia"/>
          <w:sz w:val="24"/>
          <w:szCs w:val="24"/>
        </w:rPr>
        <w:t>监测频次：每天监测4次，连续监测2天。</w:t>
      </w:r>
    </w:p>
    <w:p>
      <w:pPr>
        <w:pStyle w:val="5"/>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7.1.3 地下水监测</w:t>
      </w:r>
    </w:p>
    <w:p>
      <w:pPr>
        <w:spacing w:line="360" w:lineRule="auto"/>
        <w:ind w:firstLine="420"/>
        <w:rPr>
          <w:rFonts w:hint="eastAsia"/>
        </w:rPr>
      </w:pPr>
      <w:r>
        <w:rPr>
          <w:rFonts w:hint="eastAsia"/>
          <w:sz w:val="24"/>
        </w:rPr>
        <w:t>监测点位：在项目</w:t>
      </w:r>
      <w:r>
        <w:rPr>
          <w:rFonts w:hint="eastAsia"/>
          <w:sz w:val="24"/>
          <w:lang w:eastAsia="zh-CN"/>
        </w:rPr>
        <w:t>项目南侧党家庄</w:t>
      </w:r>
      <w:r>
        <w:rPr>
          <w:rFonts w:hint="eastAsia"/>
          <w:sz w:val="24"/>
        </w:rPr>
        <w:t>设置1个监测点</w:t>
      </w:r>
      <w:r>
        <w:rPr>
          <w:rFonts w:hint="eastAsia"/>
          <w:sz w:val="24"/>
          <w:lang w:eastAsia="zh-CN"/>
        </w:rPr>
        <w:t>、项目北侧麻李滩</w:t>
      </w:r>
      <w:r>
        <w:rPr>
          <w:rFonts w:hint="eastAsia"/>
          <w:sz w:val="24"/>
        </w:rPr>
        <w:t>设置</w:t>
      </w:r>
      <w:r>
        <w:rPr>
          <w:rFonts w:hint="eastAsia"/>
          <w:sz w:val="24"/>
          <w:lang w:val="en-US" w:eastAsia="zh-CN"/>
        </w:rPr>
        <w:t>1</w:t>
      </w:r>
      <w:r>
        <w:rPr>
          <w:rFonts w:hint="eastAsia"/>
          <w:sz w:val="24"/>
        </w:rPr>
        <w:t xml:space="preserve">个监测点。  </w:t>
      </w:r>
    </w:p>
    <w:p>
      <w:pPr>
        <w:spacing w:line="360" w:lineRule="auto"/>
        <w:ind w:firstLine="480"/>
        <w:rPr>
          <w:rFonts w:hint="eastAsia"/>
          <w:sz w:val="24"/>
        </w:rPr>
      </w:pPr>
      <w:r>
        <w:rPr>
          <w:rFonts w:hint="eastAsia"/>
          <w:sz w:val="24"/>
        </w:rPr>
        <w:t>监测因子： pH、氨氮、</w:t>
      </w:r>
      <w:r>
        <w:rPr>
          <w:rFonts w:hint="eastAsia"/>
          <w:sz w:val="24"/>
          <w:lang w:eastAsia="zh-CN"/>
        </w:rPr>
        <w:t>高锰酸盐指数、</w:t>
      </w:r>
      <w:r>
        <w:rPr>
          <w:rFonts w:hint="eastAsia"/>
          <w:sz w:val="24"/>
        </w:rPr>
        <w:t>硝酸盐、亚硝酸盐、</w:t>
      </w:r>
      <w:r>
        <w:rPr>
          <w:rFonts w:hint="eastAsia"/>
          <w:sz w:val="24"/>
          <w:lang w:eastAsia="zh-CN"/>
        </w:rPr>
        <w:t>硫酸盐、硫化物、氯化物、铁、</w:t>
      </w:r>
      <w:r>
        <w:rPr>
          <w:rFonts w:hint="eastAsia"/>
          <w:sz w:val="24"/>
        </w:rPr>
        <w:t>总硬度、溶解性总固体。</w:t>
      </w:r>
    </w:p>
    <w:p>
      <w:pPr>
        <w:spacing w:line="360" w:lineRule="auto"/>
        <w:ind w:firstLine="480"/>
        <w:rPr>
          <w:rFonts w:hint="eastAsia"/>
          <w:lang w:val="en-US" w:eastAsia="zh-CN"/>
        </w:rPr>
      </w:pPr>
      <w:r>
        <w:rPr>
          <w:rFonts w:hint="eastAsia"/>
          <w:sz w:val="24"/>
          <w:szCs w:val="24"/>
        </w:rPr>
        <w:t>监测频次：每天2次，连续监测2天。</w:t>
      </w:r>
    </w:p>
    <w:p>
      <w:pPr>
        <w:pStyle w:val="5"/>
        <w:rPr>
          <w:rFonts w:ascii="Times New Roman" w:hAnsi="Times New Roman" w:cs="Times New Roman"/>
          <w:sz w:val="24"/>
          <w:szCs w:val="24"/>
        </w:rPr>
      </w:pPr>
      <w:r>
        <w:rPr>
          <w:rFonts w:ascii="Times New Roman" w:hAnsi="Times New Roman" w:cs="Times New Roman"/>
          <w:sz w:val="24"/>
          <w:szCs w:val="24"/>
        </w:rPr>
        <w:t>7.1.</w:t>
      </w:r>
      <w:r>
        <w:rPr>
          <w:rFonts w:hint="eastAsia" w:ascii="Times New Roman" w:hAnsi="Times New Roman" w:cs="Times New Roman"/>
          <w:sz w:val="24"/>
          <w:szCs w:val="24"/>
          <w:lang w:val="en-US" w:eastAsia="zh-CN"/>
        </w:rPr>
        <w:t>4</w:t>
      </w:r>
      <w:r>
        <w:rPr>
          <w:rFonts w:ascii="Times New Roman" w:hAnsi="Times New Roman" w:cs="Times New Roman"/>
          <w:sz w:val="24"/>
          <w:szCs w:val="24"/>
        </w:rPr>
        <w:t>环境事故应急预案检查内容</w:t>
      </w:r>
      <w:bookmarkEnd w:id="203"/>
      <w:bookmarkEnd w:id="204"/>
    </w:p>
    <w:p>
      <w:pPr>
        <w:spacing w:line="360" w:lineRule="auto"/>
        <w:ind w:firstLine="480" w:firstLineChars="200"/>
        <w:rPr>
          <w:rFonts w:ascii="Times New Roman" w:hAnsi="Times New Roman" w:cs="Times New Roman"/>
          <w:sz w:val="24"/>
        </w:rPr>
      </w:pPr>
      <w:r>
        <w:rPr>
          <w:rFonts w:ascii="Times New Roman" w:hAnsi="Times New Roman" w:cs="Times New Roman"/>
          <w:sz w:val="24"/>
        </w:rPr>
        <w:t>主要针对本项目环境事故应急预案、安全管理制度、应急物资储备和应急培训、演练情况进行检查。</w:t>
      </w:r>
    </w:p>
    <w:p>
      <w:pPr>
        <w:pStyle w:val="5"/>
        <w:rPr>
          <w:rFonts w:ascii="Times New Roman" w:hAnsi="Times New Roman" w:cs="Times New Roman"/>
          <w:sz w:val="24"/>
          <w:szCs w:val="24"/>
        </w:rPr>
      </w:pPr>
      <w:bookmarkStart w:id="210" w:name="_Toc116"/>
      <w:bookmarkStart w:id="211" w:name="_Toc427247787"/>
      <w:r>
        <w:rPr>
          <w:rFonts w:ascii="Times New Roman" w:hAnsi="Times New Roman" w:cs="Times New Roman"/>
          <w:sz w:val="24"/>
          <w:szCs w:val="24"/>
        </w:rPr>
        <w:t>7.1.</w:t>
      </w:r>
      <w:r>
        <w:rPr>
          <w:rFonts w:hint="eastAsia" w:ascii="Times New Roman" w:hAnsi="Times New Roman" w:cs="Times New Roman"/>
          <w:sz w:val="24"/>
          <w:szCs w:val="24"/>
          <w:lang w:val="en-US" w:eastAsia="zh-CN"/>
        </w:rPr>
        <w:t>5</w:t>
      </w:r>
      <w:r>
        <w:rPr>
          <w:rFonts w:ascii="Times New Roman" w:hAnsi="Times New Roman" w:cs="Times New Roman"/>
          <w:sz w:val="24"/>
          <w:szCs w:val="24"/>
        </w:rPr>
        <w:t>环境管理制度检查内容</w:t>
      </w:r>
      <w:bookmarkEnd w:id="210"/>
      <w:bookmarkEnd w:id="211"/>
    </w:p>
    <w:p>
      <w:pPr>
        <w:spacing w:line="360" w:lineRule="auto"/>
        <w:ind w:firstLine="480" w:firstLineChars="200"/>
        <w:rPr>
          <w:rFonts w:ascii="Times New Roman" w:hAnsi="Times New Roman" w:cs="Times New Roman"/>
          <w:sz w:val="24"/>
        </w:rPr>
      </w:pPr>
      <w:r>
        <w:rPr>
          <w:rFonts w:ascii="Times New Roman" w:hAnsi="Times New Roman" w:cs="Times New Roman"/>
          <w:sz w:val="24"/>
        </w:rPr>
        <w:t>环境管理检查主要包括以下内容：</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（1）环评批复及环评结论、建议的落实情况，建设项目“三同时”制度落实情况；</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（2）环境管理制度、环境保护机构、环保设施运行及维护情况；</w:t>
      </w:r>
    </w:p>
    <w:p>
      <w:pPr>
        <w:spacing w:line="360" w:lineRule="auto"/>
        <w:ind w:firstLine="480" w:firstLineChars="200"/>
        <w:rPr>
          <w:rFonts w:hint="eastAsia" w:ascii="Times New Roman" w:hAnsi="Times New Roman" w:eastAsia="宋体" w:cs="Times New Roman"/>
          <w:sz w:val="24"/>
          <w:lang w:eastAsia="zh-CN"/>
        </w:rPr>
      </w:pPr>
      <w:r>
        <w:rPr>
          <w:rFonts w:ascii="Times New Roman" w:hAnsi="Times New Roman" w:cs="Times New Roman"/>
          <w:sz w:val="24"/>
        </w:rPr>
        <w:t>（3）建设期间和试生产阶段是否发生了扰民和污染事故</w:t>
      </w:r>
      <w:r>
        <w:rPr>
          <w:rFonts w:hint="eastAsia" w:ascii="Times New Roman" w:hAnsi="Times New Roman" w:cs="Times New Roman"/>
          <w:sz w:val="24"/>
          <w:lang w:eastAsia="zh-CN"/>
        </w:rPr>
        <w:t>。</w:t>
      </w:r>
    </w:p>
    <w:p>
      <w:pPr>
        <w:spacing w:line="360" w:lineRule="auto"/>
        <w:ind w:firstLine="480" w:firstLineChars="200"/>
        <w:rPr>
          <w:rFonts w:ascii="Times New Roman" w:hAnsi="Times New Roman" w:cs="Times New Roman"/>
          <w:sz w:val="24"/>
        </w:rPr>
      </w:pPr>
    </w:p>
    <w:p>
      <w:pPr>
        <w:pStyle w:val="4"/>
        <w:jc w:val="both"/>
        <w:rPr>
          <w:rFonts w:cs="Times New Roman"/>
          <w:sz w:val="28"/>
          <w:szCs w:val="28"/>
        </w:rPr>
      </w:pPr>
      <w:r>
        <w:rPr>
          <w:rFonts w:cs="Times New Roman"/>
          <w:sz w:val="28"/>
          <w:szCs w:val="28"/>
        </w:rPr>
        <w:br w:type="page"/>
      </w:r>
    </w:p>
    <w:p>
      <w:pPr>
        <w:pStyle w:val="4"/>
        <w:jc w:val="both"/>
        <w:rPr>
          <w:rFonts w:cs="Times New Roman"/>
          <w:sz w:val="24"/>
        </w:rPr>
      </w:pPr>
      <w:bookmarkStart w:id="212" w:name="_Toc28715"/>
      <w:r>
        <w:rPr>
          <w:rFonts w:cs="Times New Roman"/>
          <w:sz w:val="28"/>
          <w:szCs w:val="28"/>
        </w:rPr>
        <w:t>8 质量保证和质量控制</w:t>
      </w:r>
      <w:bookmarkEnd w:id="212"/>
    </w:p>
    <w:p>
      <w:pPr>
        <w:pStyle w:val="5"/>
        <w:spacing w:beforeLines="50"/>
        <w:rPr>
          <w:rFonts w:ascii="Times New Roman" w:hAnsi="Times New Roman" w:cs="Times New Roman"/>
          <w:sz w:val="24"/>
          <w:szCs w:val="24"/>
        </w:rPr>
      </w:pPr>
      <w:bookmarkStart w:id="213" w:name="_Toc19070"/>
      <w:r>
        <w:rPr>
          <w:rFonts w:ascii="Times New Roman" w:hAnsi="Times New Roman" w:cs="Times New Roman"/>
          <w:sz w:val="24"/>
          <w:szCs w:val="24"/>
        </w:rPr>
        <w:t>8.1监测分析方法</w:t>
      </w:r>
      <w:bookmarkEnd w:id="213"/>
    </w:p>
    <w:p>
      <w:pPr>
        <w:tabs>
          <w:tab w:val="right" w:leader="dot" w:pos="8505"/>
        </w:tabs>
        <w:spacing w:line="360" w:lineRule="auto"/>
        <w:ind w:right="-86" w:rightChars="-41" w:firstLine="480" w:firstLineChars="200"/>
        <w:rPr>
          <w:rFonts w:ascii="Times New Roman" w:hAnsi="Times New Roman" w:cs="Times New Roman"/>
          <w:sz w:val="24"/>
        </w:rPr>
      </w:pPr>
      <w:r>
        <w:rPr>
          <w:rFonts w:ascii="Times New Roman" w:hAnsi="Times New Roman" w:cs="Times New Roman"/>
          <w:sz w:val="24"/>
        </w:rPr>
        <w:t>（1）《空气和废气监测分析方法》；</w:t>
      </w:r>
    </w:p>
    <w:p>
      <w:pPr>
        <w:tabs>
          <w:tab w:val="right" w:leader="dot" w:pos="8505"/>
        </w:tabs>
        <w:spacing w:line="360" w:lineRule="auto"/>
        <w:ind w:right="-86" w:rightChars="-41" w:firstLine="480" w:firstLineChars="200"/>
        <w:rPr>
          <w:rFonts w:ascii="Times New Roman" w:hAnsi="Times New Roman" w:cs="Times New Roman"/>
          <w:sz w:val="24"/>
        </w:rPr>
      </w:pPr>
      <w:r>
        <w:rPr>
          <w:rFonts w:ascii="Times New Roman" w:hAnsi="Times New Roman" w:cs="Times New Roman"/>
          <w:sz w:val="24"/>
        </w:rPr>
        <w:t>（2）《大气污染物无组织排放监测技术导则》（HJ/T55-2000）、《环境空气质量手工监测技术规范》（HJ/T194-2005）</w:t>
      </w:r>
      <w:r>
        <w:rPr>
          <w:rFonts w:hint="eastAsia" w:ascii="Times New Roman" w:hAnsi="Times New Roman" w:cs="Times New Roman"/>
          <w:sz w:val="24"/>
          <w:lang w:eastAsia="zh-CN"/>
        </w:rPr>
        <w:t>；</w:t>
      </w:r>
    </w:p>
    <w:p>
      <w:pPr>
        <w:tabs>
          <w:tab w:val="right" w:leader="dot" w:pos="8505"/>
        </w:tabs>
        <w:spacing w:line="360" w:lineRule="auto"/>
        <w:ind w:right="-86" w:rightChars="-41" w:firstLine="480" w:firstLineChars="200"/>
        <w:rPr>
          <w:rFonts w:ascii="Times New Roman" w:hAnsi="Times New Roman" w:cs="Times New Roman"/>
          <w:sz w:val="24"/>
        </w:rPr>
      </w:pPr>
      <w:r>
        <w:rPr>
          <w:rFonts w:ascii="Times New Roman" w:hAnsi="Times New Roman" w:cs="Times New Roman"/>
          <w:sz w:val="24"/>
        </w:rPr>
        <w:t>（3）</w:t>
      </w:r>
      <w:r>
        <w:rPr>
          <w:rFonts w:hint="eastAsia" w:ascii="Times New Roman" w:hAnsi="Times New Roman" w:cs="Times New Roman"/>
          <w:sz w:val="24"/>
          <w:lang w:eastAsia="zh-CN"/>
        </w:rPr>
        <w:t>《地表水和污水监测技术规范》</w:t>
      </w:r>
      <w:r>
        <w:rPr>
          <w:rFonts w:ascii="Times New Roman" w:hAnsi="Times New Roman" w:cs="Times New Roman"/>
          <w:sz w:val="24"/>
        </w:rPr>
        <w:t>；</w:t>
      </w:r>
    </w:p>
    <w:p>
      <w:pPr>
        <w:pStyle w:val="5"/>
        <w:rPr>
          <w:rFonts w:hint="eastAsia" w:eastAsia="宋体"/>
          <w:lang w:val="en-US" w:eastAsia="zh-CN"/>
        </w:rPr>
      </w:pPr>
      <w:r>
        <w:rPr>
          <w:rFonts w:hint="eastAsia" w:ascii="Times New Roman" w:hAnsi="Times New Roman" w:cs="Times New Roman"/>
          <w:sz w:val="24"/>
          <w:lang w:val="en-US" w:eastAsia="zh-CN"/>
        </w:rPr>
        <w:t xml:space="preserve">    </w:t>
      </w:r>
      <w:r>
        <w:rPr>
          <w:rFonts w:hint="eastAsia" w:ascii="Times New Roman" w:hAnsi="Times New Roman" w:cs="Times New Roman"/>
          <w:b w:val="0"/>
          <w:bCs w:val="0"/>
          <w:sz w:val="24"/>
          <w:lang w:val="en-US" w:eastAsia="zh-CN"/>
        </w:rPr>
        <w:t>（4）《地下水环境监测技术规范》。</w:t>
      </w:r>
    </w:p>
    <w:p>
      <w:pPr>
        <w:spacing w:beforeLines="50" w:line="360" w:lineRule="auto"/>
        <w:ind w:firstLine="480" w:firstLineChars="200"/>
        <w:jc w:val="both"/>
        <w:rPr>
          <w:rFonts w:ascii="Times New Roman" w:hAnsi="Times New Roman" w:cs="Times New Roman"/>
          <w:sz w:val="24"/>
        </w:rPr>
      </w:pPr>
      <w:r>
        <w:rPr>
          <w:rFonts w:ascii="Times New Roman" w:hAnsi="Times New Roman" w:cs="Times New Roman"/>
          <w:sz w:val="24"/>
        </w:rPr>
        <w:t>监测采样、项目分析方法分别见表8.1-1、8.1-2</w:t>
      </w:r>
      <w:r>
        <w:rPr>
          <w:rFonts w:hint="eastAsia" w:ascii="Times New Roman" w:hAnsi="Times New Roman" w:cs="Times New Roman"/>
          <w:sz w:val="24"/>
          <w:lang w:eastAsia="zh-CN"/>
        </w:rPr>
        <w:t>、表</w:t>
      </w:r>
      <w:r>
        <w:rPr>
          <w:rFonts w:hint="eastAsia" w:ascii="Times New Roman" w:hAnsi="Times New Roman" w:cs="Times New Roman"/>
          <w:sz w:val="24"/>
          <w:lang w:val="en-US" w:eastAsia="zh-CN"/>
        </w:rPr>
        <w:t>8.1-3</w:t>
      </w:r>
      <w:r>
        <w:rPr>
          <w:rFonts w:ascii="Times New Roman" w:hAnsi="Times New Roman" w:cs="Times New Roman"/>
          <w:sz w:val="24"/>
        </w:rPr>
        <w:t>。</w:t>
      </w:r>
    </w:p>
    <w:p>
      <w:pPr>
        <w:spacing w:beforeLines="50" w:line="360" w:lineRule="auto"/>
        <w:jc w:val="center"/>
        <w:rPr>
          <w:rFonts w:ascii="Times New Roman" w:hAnsi="Times New Roman" w:cs="Times New Roman"/>
          <w:b/>
          <w:sz w:val="24"/>
          <w:szCs w:val="32"/>
        </w:rPr>
      </w:pPr>
      <w:r>
        <w:rPr>
          <w:rFonts w:ascii="Times New Roman" w:hAnsi="Times New Roman" w:cs="Times New Roman"/>
          <w:b/>
          <w:sz w:val="24"/>
          <w:szCs w:val="32"/>
        </w:rPr>
        <w:t xml:space="preserve">表8.1-1 </w:t>
      </w:r>
      <w:r>
        <w:rPr>
          <w:rFonts w:hint="eastAsia" w:ascii="Times New Roman" w:hAnsi="Times New Roman" w:cs="Times New Roman"/>
          <w:b/>
          <w:sz w:val="24"/>
          <w:szCs w:val="32"/>
          <w:lang w:val="en-US" w:eastAsia="zh-CN"/>
        </w:rPr>
        <w:t xml:space="preserve">  </w:t>
      </w:r>
      <w:r>
        <w:rPr>
          <w:rFonts w:hint="eastAsia" w:ascii="Times New Roman" w:hAnsi="Times New Roman" w:cs="Times New Roman"/>
          <w:b/>
          <w:sz w:val="24"/>
          <w:szCs w:val="32"/>
          <w:lang w:eastAsia="zh-CN"/>
        </w:rPr>
        <w:t>废气</w:t>
      </w:r>
      <w:r>
        <w:rPr>
          <w:rFonts w:ascii="Times New Roman" w:hAnsi="Times New Roman" w:cs="Times New Roman"/>
          <w:b/>
          <w:sz w:val="24"/>
          <w:szCs w:val="32"/>
        </w:rPr>
        <w:t>监测采样及分析方法</w:t>
      </w:r>
    </w:p>
    <w:tbl>
      <w:tblPr>
        <w:tblStyle w:val="27"/>
        <w:tblW w:w="8528" w:type="dxa"/>
        <w:jc w:val="center"/>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136"/>
        <w:gridCol w:w="2106"/>
        <w:gridCol w:w="3147"/>
        <w:gridCol w:w="1480"/>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659" w:type="dxa"/>
            <w:tcBorders>
              <w:tl2br w:val="nil"/>
              <w:tr2bl w:val="nil"/>
            </w:tcBorders>
            <w:vAlign w:val="center"/>
          </w:tcPr>
          <w:p>
            <w:pPr>
              <w:spacing w:line="240" w:lineRule="auto"/>
              <w:jc w:val="center"/>
              <w:rPr>
                <w:sz w:val="21"/>
                <w:szCs w:val="21"/>
              </w:rPr>
            </w:pPr>
            <w:r>
              <w:rPr>
                <w:b/>
                <w:sz w:val="21"/>
                <w:szCs w:val="21"/>
              </w:rPr>
              <w:t>序</w:t>
            </w:r>
            <w:r>
              <w:rPr>
                <w:rFonts w:hint="eastAsia"/>
                <w:b/>
                <w:sz w:val="21"/>
                <w:szCs w:val="21"/>
              </w:rPr>
              <w:t>号</w:t>
            </w:r>
          </w:p>
        </w:tc>
        <w:tc>
          <w:tcPr>
            <w:tcW w:w="1136" w:type="dxa"/>
            <w:tcBorders>
              <w:tl2br w:val="nil"/>
              <w:tr2bl w:val="nil"/>
            </w:tcBorders>
            <w:vAlign w:val="center"/>
          </w:tcPr>
          <w:p>
            <w:pPr>
              <w:spacing w:line="240" w:lineRule="auto"/>
              <w:jc w:val="center"/>
              <w:rPr>
                <w:sz w:val="21"/>
                <w:szCs w:val="21"/>
              </w:rPr>
            </w:pPr>
            <w:r>
              <w:rPr>
                <w:b/>
                <w:sz w:val="21"/>
                <w:szCs w:val="21"/>
              </w:rPr>
              <w:t>监测项目</w:t>
            </w:r>
          </w:p>
        </w:tc>
        <w:tc>
          <w:tcPr>
            <w:tcW w:w="2106" w:type="dxa"/>
            <w:tcBorders>
              <w:tl2br w:val="nil"/>
              <w:tr2bl w:val="nil"/>
            </w:tcBorders>
            <w:vAlign w:val="center"/>
          </w:tcPr>
          <w:p>
            <w:pPr>
              <w:spacing w:line="240" w:lineRule="auto"/>
              <w:jc w:val="center"/>
              <w:rPr>
                <w:sz w:val="21"/>
                <w:szCs w:val="21"/>
              </w:rPr>
            </w:pPr>
            <w:r>
              <w:rPr>
                <w:b/>
                <w:sz w:val="21"/>
                <w:szCs w:val="21"/>
              </w:rPr>
              <w:t>分析方法</w:t>
            </w:r>
          </w:p>
        </w:tc>
        <w:tc>
          <w:tcPr>
            <w:tcW w:w="3147" w:type="dxa"/>
            <w:tcBorders>
              <w:tl2br w:val="nil"/>
              <w:tr2bl w:val="nil"/>
            </w:tcBorders>
            <w:vAlign w:val="center"/>
          </w:tcPr>
          <w:p>
            <w:pPr>
              <w:spacing w:line="240" w:lineRule="auto"/>
              <w:jc w:val="center"/>
              <w:rPr>
                <w:sz w:val="21"/>
                <w:szCs w:val="21"/>
              </w:rPr>
            </w:pPr>
            <w:r>
              <w:rPr>
                <w:rFonts w:hint="eastAsia"/>
                <w:b/>
                <w:sz w:val="21"/>
                <w:szCs w:val="21"/>
              </w:rPr>
              <w:t>标准号</w:t>
            </w:r>
          </w:p>
        </w:tc>
        <w:tc>
          <w:tcPr>
            <w:tcW w:w="1480" w:type="dxa"/>
            <w:tcBorders>
              <w:tl2br w:val="nil"/>
              <w:tr2bl w:val="nil"/>
            </w:tcBorders>
            <w:vAlign w:val="center"/>
          </w:tcPr>
          <w:p>
            <w:pPr>
              <w:spacing w:line="240" w:lineRule="auto"/>
              <w:jc w:val="center"/>
              <w:rPr>
                <w:sz w:val="21"/>
                <w:szCs w:val="21"/>
              </w:rPr>
            </w:pPr>
            <w:r>
              <w:rPr>
                <w:b/>
                <w:sz w:val="21"/>
                <w:szCs w:val="21"/>
              </w:rPr>
              <w:t>检</w:t>
            </w:r>
            <w:r>
              <w:rPr>
                <w:rFonts w:hint="eastAsia"/>
                <w:b/>
                <w:sz w:val="21"/>
                <w:szCs w:val="21"/>
              </w:rPr>
              <w:t>出</w:t>
            </w:r>
            <w:r>
              <w:rPr>
                <w:b/>
                <w:sz w:val="21"/>
                <w:szCs w:val="21"/>
              </w:rPr>
              <w:t>限</w:t>
            </w:r>
            <w:r>
              <w:rPr>
                <w:rFonts w:hint="eastAsia"/>
                <w:b/>
                <w:sz w:val="21"/>
                <w:szCs w:val="21"/>
              </w:rPr>
              <w:t>/分辨率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1</w:t>
            </w:r>
          </w:p>
        </w:tc>
        <w:tc>
          <w:tcPr>
            <w:tcW w:w="1136" w:type="dxa"/>
            <w:tcBorders>
              <w:tl2br w:val="nil"/>
              <w:tr2bl w:val="nil"/>
            </w:tcBorders>
            <w:vAlign w:val="center"/>
          </w:tcPr>
          <w:p>
            <w:pPr>
              <w:spacing w:line="280" w:lineRule="exact"/>
              <w:jc w:val="center"/>
              <w:rPr>
                <w:sz w:val="21"/>
                <w:szCs w:val="21"/>
              </w:rPr>
            </w:pPr>
            <w:r>
              <w:rPr>
                <w:rFonts w:hint="eastAsia"/>
                <w:sz w:val="21"/>
                <w:szCs w:val="21"/>
              </w:rPr>
              <w:t>氨</w:t>
            </w:r>
          </w:p>
        </w:tc>
        <w:tc>
          <w:tcPr>
            <w:tcW w:w="2106" w:type="dxa"/>
            <w:tcBorders>
              <w:tl2br w:val="nil"/>
              <w:tr2bl w:val="nil"/>
            </w:tcBorders>
            <w:vAlign w:val="center"/>
          </w:tcPr>
          <w:p>
            <w:pPr>
              <w:widowControl/>
              <w:jc w:val="center"/>
              <w:rPr>
                <w:sz w:val="21"/>
                <w:szCs w:val="21"/>
              </w:rPr>
            </w:pPr>
            <w:r>
              <w:rPr>
                <w:rFonts w:hint="default" w:ascii="Times New Roman" w:hAnsi="Times New Roman" w:eastAsia="宋体" w:cs="Times New Roman"/>
                <w:kern w:val="0"/>
                <w:sz w:val="21"/>
                <w:szCs w:val="21"/>
                <w:lang w:val="en-US" w:eastAsia="zh-CN"/>
              </w:rPr>
              <w:t>纳氏试剂分光光度法</w:t>
            </w:r>
          </w:p>
        </w:tc>
        <w:tc>
          <w:tcPr>
            <w:tcW w:w="3147" w:type="dxa"/>
            <w:tcBorders>
              <w:tl2br w:val="nil"/>
              <w:tr2bl w:val="nil"/>
            </w:tcBorders>
            <w:vAlign w:val="center"/>
          </w:tcPr>
          <w:p>
            <w:pPr>
              <w:spacing w:line="280" w:lineRule="exact"/>
              <w:jc w:val="center"/>
              <w:rPr>
                <w:sz w:val="21"/>
                <w:szCs w:val="21"/>
              </w:rPr>
            </w:pPr>
            <w:r>
              <w:rPr>
                <w:rFonts w:hint="eastAsia"/>
                <w:sz w:val="21"/>
                <w:szCs w:val="21"/>
              </w:rPr>
              <w:t>HJ 533-2009</w:t>
            </w:r>
          </w:p>
        </w:tc>
        <w:tc>
          <w:tcPr>
            <w:tcW w:w="1480" w:type="dxa"/>
            <w:tcBorders>
              <w:tl2br w:val="nil"/>
              <w:tr2bl w:val="nil"/>
            </w:tcBorders>
            <w:vAlign w:val="center"/>
          </w:tcPr>
          <w:p>
            <w:pPr>
              <w:spacing w:line="280" w:lineRule="exact"/>
              <w:jc w:val="center"/>
              <w:rPr>
                <w:rFonts w:hint="eastAsia" w:eastAsia="宋体"/>
                <w:sz w:val="21"/>
                <w:szCs w:val="21"/>
                <w:lang w:val="en-US" w:eastAsia="zh-CN"/>
              </w:rPr>
            </w:pPr>
            <w:r>
              <w:rPr>
                <w:rFonts w:hint="eastAsia"/>
                <w:sz w:val="21"/>
                <w:szCs w:val="21"/>
              </w:rPr>
              <w:t>0.</w:t>
            </w:r>
            <w:r>
              <w:rPr>
                <w:rFonts w:hint="eastAsia"/>
                <w:sz w:val="21"/>
                <w:szCs w:val="21"/>
                <w:lang w:val="en-US" w:eastAsia="zh-CN"/>
              </w:rPr>
              <w:t>25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2</w:t>
            </w:r>
          </w:p>
        </w:tc>
        <w:tc>
          <w:tcPr>
            <w:tcW w:w="1136" w:type="dxa"/>
            <w:tcBorders>
              <w:tl2br w:val="nil"/>
              <w:tr2bl w:val="nil"/>
            </w:tcBorders>
            <w:vAlign w:val="center"/>
          </w:tcPr>
          <w:p>
            <w:pPr>
              <w:spacing w:line="280" w:lineRule="exact"/>
              <w:jc w:val="center"/>
              <w:rPr>
                <w:sz w:val="21"/>
                <w:szCs w:val="21"/>
              </w:rPr>
            </w:pPr>
            <w:r>
              <w:rPr>
                <w:rFonts w:hint="eastAsia"/>
                <w:sz w:val="21"/>
                <w:szCs w:val="21"/>
              </w:rPr>
              <w:t>硫化氢</w:t>
            </w:r>
          </w:p>
        </w:tc>
        <w:tc>
          <w:tcPr>
            <w:tcW w:w="2106" w:type="dxa"/>
            <w:tcBorders>
              <w:tl2br w:val="nil"/>
              <w:tr2bl w:val="nil"/>
            </w:tcBorders>
            <w:vAlign w:val="center"/>
          </w:tcPr>
          <w:p>
            <w:pPr>
              <w:widowControl/>
              <w:jc w:val="center"/>
              <w:rPr>
                <w:sz w:val="21"/>
                <w:szCs w:val="21"/>
              </w:rPr>
            </w:pPr>
            <w:r>
              <w:rPr>
                <w:rFonts w:hint="default" w:ascii="Times New Roman" w:hAnsi="Times New Roman" w:eastAsia="宋体" w:cs="Times New Roman"/>
                <w:kern w:val="0"/>
                <w:sz w:val="21"/>
                <w:szCs w:val="21"/>
                <w:lang w:val="en-US" w:eastAsia="zh-CN"/>
              </w:rPr>
              <w:t>亚甲基蓝分光光度法</w:t>
            </w:r>
          </w:p>
        </w:tc>
        <w:tc>
          <w:tcPr>
            <w:tcW w:w="3147" w:type="dxa"/>
            <w:tcBorders>
              <w:tl2br w:val="nil"/>
              <w:tr2bl w:val="nil"/>
            </w:tcBorders>
            <w:vAlign w:val="center"/>
          </w:tcPr>
          <w:p>
            <w:pPr>
              <w:spacing w:line="280" w:lineRule="exact"/>
              <w:jc w:val="center"/>
              <w:rPr>
                <w:sz w:val="21"/>
                <w:szCs w:val="21"/>
              </w:rPr>
            </w:pPr>
            <w:r>
              <w:rPr>
                <w:rFonts w:hint="eastAsia"/>
                <w:sz w:val="21"/>
                <w:szCs w:val="21"/>
              </w:rPr>
              <w:t>《空气和废气监测分析方法》（第四版增补版）</w:t>
            </w:r>
          </w:p>
        </w:tc>
        <w:tc>
          <w:tcPr>
            <w:tcW w:w="1480" w:type="dxa"/>
            <w:tcBorders>
              <w:tl2br w:val="nil"/>
              <w:tr2bl w:val="nil"/>
            </w:tcBorders>
            <w:vAlign w:val="center"/>
          </w:tcPr>
          <w:p>
            <w:pPr>
              <w:spacing w:line="280" w:lineRule="exact"/>
              <w:jc w:val="center"/>
              <w:rPr>
                <w:sz w:val="21"/>
                <w:szCs w:val="21"/>
              </w:rPr>
            </w:pPr>
            <w:r>
              <w:rPr>
                <w:rFonts w:hint="eastAsia"/>
                <w:sz w:val="21"/>
                <w:szCs w:val="21"/>
              </w:rPr>
              <w:t>0.001</w:t>
            </w:r>
          </w:p>
        </w:tc>
      </w:tr>
    </w:tbl>
    <w:p>
      <w:pPr>
        <w:pStyle w:val="5"/>
        <w:keepNext/>
        <w:keepLines/>
        <w:pageBreakBefore w:val="0"/>
        <w:widowControl w:val="0"/>
        <w:kinsoku/>
        <w:wordWrap/>
        <w:overflowPunct/>
        <w:topLinePunct w:val="0"/>
        <w:autoSpaceDE/>
        <w:autoSpaceDN/>
        <w:bidi w:val="0"/>
        <w:adjustRightInd/>
        <w:snapToGrid/>
        <w:spacing w:before="157" w:beforeLines="5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表</w:t>
      </w:r>
      <w:r>
        <w:rPr>
          <w:rFonts w:hint="eastAsia" w:ascii="宋体" w:hAnsi="宋体" w:eastAsia="宋体" w:cs="宋体"/>
          <w:b/>
          <w:bCs/>
          <w:sz w:val="24"/>
          <w:szCs w:val="24"/>
          <w:lang w:val="en-US" w:eastAsia="zh-CN"/>
        </w:rPr>
        <w:t>8.1-2 污（废）水监测分析方法</w:t>
      </w:r>
    </w:p>
    <w:tbl>
      <w:tblPr>
        <w:tblStyle w:val="27"/>
        <w:tblW w:w="8528" w:type="dxa"/>
        <w:jc w:val="center"/>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136"/>
        <w:gridCol w:w="2214"/>
        <w:gridCol w:w="3039"/>
        <w:gridCol w:w="1480"/>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b/>
                <w:sz w:val="21"/>
                <w:szCs w:val="21"/>
              </w:rPr>
            </w:pPr>
            <w:r>
              <w:rPr>
                <w:b/>
                <w:sz w:val="21"/>
                <w:szCs w:val="21"/>
              </w:rPr>
              <w:t>序</w:t>
            </w:r>
            <w:r>
              <w:rPr>
                <w:rFonts w:hint="eastAsia"/>
                <w:b/>
                <w:sz w:val="21"/>
                <w:szCs w:val="21"/>
              </w:rPr>
              <w:t>号</w:t>
            </w:r>
          </w:p>
        </w:tc>
        <w:tc>
          <w:tcPr>
            <w:tcW w:w="1136"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分析项目</w:t>
            </w:r>
          </w:p>
        </w:tc>
        <w:tc>
          <w:tcPr>
            <w:tcW w:w="2214"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分析方法</w:t>
            </w:r>
          </w:p>
        </w:tc>
        <w:tc>
          <w:tcPr>
            <w:tcW w:w="3039"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标准号</w:t>
            </w:r>
          </w:p>
        </w:tc>
        <w:tc>
          <w:tcPr>
            <w:tcW w:w="1480"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检出限</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sz w:val="21"/>
                <w:szCs w:val="21"/>
              </w:rPr>
              <w:t>1</w:t>
            </w:r>
          </w:p>
        </w:tc>
        <w:tc>
          <w:tcPr>
            <w:tcW w:w="1136" w:type="dxa"/>
            <w:tcBorders>
              <w:tl2br w:val="nil"/>
              <w:tr2bl w:val="nil"/>
            </w:tcBorders>
            <w:vAlign w:val="center"/>
          </w:tcPr>
          <w:p>
            <w:pPr>
              <w:widowControl/>
              <w:spacing w:line="240" w:lineRule="auto"/>
              <w:jc w:val="center"/>
              <w:rPr>
                <w:rFonts w:cs="Times New Roman"/>
                <w:sz w:val="21"/>
                <w:szCs w:val="21"/>
              </w:rPr>
            </w:pPr>
            <w:r>
              <w:rPr>
                <w:rFonts w:cs="Times New Roman"/>
                <w:sz w:val="21"/>
                <w:szCs w:val="21"/>
              </w:rPr>
              <w:t>pH值</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rPr>
              <w:t>玻璃电极法</w:t>
            </w:r>
          </w:p>
        </w:tc>
        <w:tc>
          <w:tcPr>
            <w:tcW w:w="3039" w:type="dxa"/>
            <w:tcBorders>
              <w:tl2br w:val="nil"/>
              <w:tr2bl w:val="nil"/>
            </w:tcBorders>
            <w:vAlign w:val="center"/>
          </w:tcPr>
          <w:p>
            <w:pPr>
              <w:widowControl/>
              <w:spacing w:line="240" w:lineRule="auto"/>
              <w:jc w:val="center"/>
              <w:rPr>
                <w:rFonts w:cs="Times New Roman"/>
                <w:bCs/>
                <w:sz w:val="21"/>
                <w:szCs w:val="21"/>
              </w:rPr>
            </w:pPr>
            <w:r>
              <w:rPr>
                <w:rFonts w:hint="eastAsia" w:cs="Times New Roman"/>
                <w:color w:val="000000"/>
                <w:kern w:val="0"/>
                <w:sz w:val="21"/>
                <w:szCs w:val="21"/>
              </w:rPr>
              <w:t>GB/T 6920-1986</w:t>
            </w:r>
          </w:p>
        </w:tc>
        <w:tc>
          <w:tcPr>
            <w:tcW w:w="1480" w:type="dxa"/>
            <w:tcBorders>
              <w:tl2br w:val="nil"/>
              <w:tr2bl w:val="nil"/>
            </w:tcBorders>
            <w:vAlign w:val="center"/>
          </w:tcPr>
          <w:p>
            <w:pPr>
              <w:spacing w:line="240" w:lineRule="auto"/>
              <w:jc w:val="center"/>
              <w:rPr>
                <w:rFonts w:hint="eastAsia"/>
                <w:lang w:val="en-US" w:eastAsia="zh-CN"/>
              </w:rPr>
            </w:pPr>
            <w:r>
              <w:rPr>
                <w:rFonts w:hint="eastAsia"/>
                <w:lang w:val="en-US" w:eastAsia="zh-CN"/>
              </w:rPr>
              <w:t>0.01pH</w:t>
            </w:r>
          </w:p>
          <w:p>
            <w:pPr>
              <w:pStyle w:val="5"/>
              <w:jc w:val="center"/>
              <w:rPr>
                <w:rFonts w:hint="eastAsia"/>
                <w:lang w:val="en-US" w:eastAsia="zh-CN"/>
              </w:rPr>
            </w:pPr>
            <w:r>
              <w:rPr>
                <w:rFonts w:hint="eastAsia" w:cs="Times New Roman"/>
                <w:b w:val="0"/>
                <w:bCs w:val="0"/>
                <w:sz w:val="21"/>
                <w:szCs w:val="21"/>
                <w:lang w:val="en-US" w:eastAsia="zh-CN"/>
              </w:rPr>
              <w:t>（无量纲）</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2</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 xml:space="preserve">化学需氧量  </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rPr>
              <w:t>重铬酸盐法</w:t>
            </w:r>
          </w:p>
        </w:tc>
        <w:tc>
          <w:tcPr>
            <w:tcW w:w="3039" w:type="dxa"/>
            <w:tcBorders>
              <w:tl2br w:val="nil"/>
              <w:tr2bl w:val="nil"/>
            </w:tcBorders>
            <w:vAlign w:val="center"/>
          </w:tcPr>
          <w:p>
            <w:pPr>
              <w:spacing w:line="240" w:lineRule="auto"/>
              <w:jc w:val="center"/>
              <w:rPr>
                <w:rFonts w:cs="Times New Roman"/>
                <w:bCs/>
                <w:sz w:val="21"/>
                <w:szCs w:val="21"/>
              </w:rPr>
            </w:pPr>
            <w:r>
              <w:rPr>
                <w:rFonts w:hint="eastAsia" w:cs="Times New Roman"/>
                <w:color w:val="000000"/>
                <w:kern w:val="0"/>
                <w:sz w:val="21"/>
                <w:szCs w:val="21"/>
              </w:rPr>
              <w:t>HJ 828-2017</w:t>
            </w:r>
          </w:p>
        </w:tc>
        <w:tc>
          <w:tcPr>
            <w:tcW w:w="1480" w:type="dxa"/>
            <w:tcBorders>
              <w:tl2br w:val="nil"/>
              <w:tr2bl w:val="nil"/>
            </w:tcBorders>
            <w:vAlign w:val="center"/>
          </w:tcPr>
          <w:p>
            <w:pPr>
              <w:spacing w:line="240" w:lineRule="auto"/>
              <w:jc w:val="center"/>
              <w:rPr>
                <w:rFonts w:cs="Times New Roman"/>
                <w:kern w:val="0"/>
                <w:sz w:val="21"/>
                <w:szCs w:val="21"/>
              </w:rPr>
            </w:pPr>
            <w:r>
              <w:rPr>
                <w:rFonts w:hint="eastAsia" w:cs="Times New Roman"/>
                <w:bCs/>
                <w:sz w:val="21"/>
                <w:szCs w:val="21"/>
              </w:rPr>
              <w:t>4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3</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五日生化需氧量</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rPr>
              <w:t>稀释与接种法</w:t>
            </w:r>
          </w:p>
        </w:tc>
        <w:tc>
          <w:tcPr>
            <w:tcW w:w="3039" w:type="dxa"/>
            <w:tcBorders>
              <w:tl2br w:val="nil"/>
              <w:tr2bl w:val="nil"/>
            </w:tcBorders>
            <w:vAlign w:val="center"/>
          </w:tcPr>
          <w:p>
            <w:pPr>
              <w:widowControl/>
              <w:spacing w:line="240" w:lineRule="auto"/>
              <w:jc w:val="center"/>
              <w:rPr>
                <w:rFonts w:cs="Times New Roman"/>
                <w:bCs/>
                <w:sz w:val="21"/>
                <w:szCs w:val="21"/>
              </w:rPr>
            </w:pPr>
            <w:r>
              <w:rPr>
                <w:rFonts w:hint="eastAsia" w:cs="Times New Roman"/>
                <w:color w:val="000000"/>
                <w:kern w:val="0"/>
                <w:sz w:val="21"/>
                <w:szCs w:val="21"/>
              </w:rPr>
              <w:t>HJ 505-2009</w:t>
            </w:r>
          </w:p>
        </w:tc>
        <w:tc>
          <w:tcPr>
            <w:tcW w:w="1480"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bCs/>
                <w:sz w:val="21"/>
                <w:szCs w:val="21"/>
              </w:rPr>
              <w:t>0.5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4</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悬浮物</w:t>
            </w:r>
          </w:p>
        </w:tc>
        <w:tc>
          <w:tcPr>
            <w:tcW w:w="2214" w:type="dxa"/>
            <w:tcBorders>
              <w:tl2br w:val="nil"/>
              <w:tr2bl w:val="nil"/>
            </w:tcBorders>
            <w:vAlign w:val="center"/>
          </w:tcPr>
          <w:p>
            <w:pPr>
              <w:widowControl/>
              <w:spacing w:line="240" w:lineRule="auto"/>
              <w:jc w:val="center"/>
              <w:rPr>
                <w:rFonts w:cs="Times New Roman"/>
                <w:color w:val="FF0000"/>
                <w:kern w:val="0"/>
                <w:sz w:val="21"/>
                <w:szCs w:val="21"/>
              </w:rPr>
            </w:pPr>
            <w:r>
              <w:rPr>
                <w:rFonts w:hint="eastAsia" w:cs="Times New Roman"/>
                <w:color w:val="000000"/>
                <w:kern w:val="0"/>
                <w:sz w:val="21"/>
                <w:szCs w:val="21"/>
              </w:rPr>
              <w:t>重量法</w:t>
            </w:r>
          </w:p>
        </w:tc>
        <w:tc>
          <w:tcPr>
            <w:tcW w:w="3039" w:type="dxa"/>
            <w:tcBorders>
              <w:tl2br w:val="nil"/>
              <w:tr2bl w:val="nil"/>
            </w:tcBorders>
            <w:vAlign w:val="center"/>
          </w:tcPr>
          <w:p>
            <w:pPr>
              <w:widowControl/>
              <w:spacing w:line="240" w:lineRule="auto"/>
              <w:jc w:val="center"/>
              <w:rPr>
                <w:rFonts w:cs="Times New Roman"/>
                <w:bCs/>
                <w:color w:val="FF0000"/>
                <w:sz w:val="21"/>
                <w:szCs w:val="21"/>
              </w:rPr>
            </w:pPr>
            <w:r>
              <w:rPr>
                <w:rFonts w:hint="eastAsia" w:cs="Times New Roman"/>
                <w:color w:val="000000"/>
                <w:kern w:val="0"/>
                <w:sz w:val="21"/>
                <w:szCs w:val="21"/>
              </w:rPr>
              <w:t>GB/T 11901-1989</w:t>
            </w:r>
          </w:p>
        </w:tc>
        <w:tc>
          <w:tcPr>
            <w:tcW w:w="1480" w:type="dxa"/>
            <w:tcBorders>
              <w:tl2br w:val="nil"/>
              <w:tr2bl w:val="nil"/>
            </w:tcBorders>
            <w:vAlign w:val="center"/>
          </w:tcPr>
          <w:p>
            <w:pPr>
              <w:widowControl/>
              <w:spacing w:line="240" w:lineRule="auto"/>
              <w:jc w:val="center"/>
              <w:rPr>
                <w:rFonts w:cs="Times New Roman"/>
                <w:color w:val="FF0000"/>
                <w:kern w:val="0"/>
                <w:sz w:val="21"/>
                <w:szCs w:val="21"/>
              </w:rPr>
            </w:pPr>
            <w:r>
              <w:rPr>
                <w:rFonts w:hint="eastAsia" w:cs="Times New Roman"/>
                <w:bCs/>
                <w:sz w:val="21"/>
                <w:szCs w:val="21"/>
              </w:rPr>
              <w:t>4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5</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氨氮</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rPr>
              <w:t>纳氏试剂分光光度法</w:t>
            </w:r>
          </w:p>
        </w:tc>
        <w:tc>
          <w:tcPr>
            <w:tcW w:w="3039" w:type="dxa"/>
            <w:tcBorders>
              <w:tl2br w:val="nil"/>
              <w:tr2bl w:val="nil"/>
            </w:tcBorders>
            <w:vAlign w:val="center"/>
          </w:tcPr>
          <w:p>
            <w:pPr>
              <w:widowControl/>
              <w:spacing w:line="240" w:lineRule="auto"/>
              <w:jc w:val="center"/>
              <w:rPr>
                <w:rFonts w:cs="Times New Roman"/>
                <w:bCs/>
                <w:sz w:val="21"/>
                <w:szCs w:val="21"/>
              </w:rPr>
            </w:pPr>
            <w:r>
              <w:rPr>
                <w:rFonts w:hint="eastAsia" w:cs="Times New Roman"/>
                <w:color w:val="000000"/>
                <w:kern w:val="0"/>
                <w:sz w:val="21"/>
                <w:szCs w:val="21"/>
              </w:rPr>
              <w:t>HJ 535-2009</w:t>
            </w:r>
          </w:p>
        </w:tc>
        <w:tc>
          <w:tcPr>
            <w:tcW w:w="1480" w:type="dxa"/>
            <w:tcBorders>
              <w:tl2br w:val="nil"/>
              <w:tr2bl w:val="nil"/>
            </w:tcBorders>
            <w:vAlign w:val="center"/>
          </w:tcPr>
          <w:p>
            <w:pPr>
              <w:spacing w:line="240" w:lineRule="auto"/>
              <w:jc w:val="center"/>
              <w:rPr>
                <w:rFonts w:cs="Times New Roman"/>
                <w:kern w:val="0"/>
                <w:sz w:val="21"/>
                <w:szCs w:val="21"/>
              </w:rPr>
            </w:pPr>
            <w:r>
              <w:rPr>
                <w:rFonts w:hint="eastAsia" w:cs="Times New Roman"/>
                <w:bCs/>
                <w:sz w:val="21"/>
                <w:szCs w:val="21"/>
              </w:rPr>
              <w:t>0.025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6</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*总氮</w:t>
            </w:r>
          </w:p>
        </w:tc>
        <w:tc>
          <w:tcPr>
            <w:tcW w:w="2214" w:type="dxa"/>
            <w:tcBorders>
              <w:tl2br w:val="nil"/>
              <w:tr2bl w:val="nil"/>
            </w:tcBorders>
            <w:vAlign w:val="center"/>
          </w:tcPr>
          <w:p>
            <w:pPr>
              <w:widowControl/>
              <w:spacing w:line="240" w:lineRule="auto"/>
              <w:jc w:val="center"/>
              <w:rPr>
                <w:rFonts w:cs="Times New Roman"/>
                <w:color w:val="000000"/>
                <w:kern w:val="0"/>
                <w:sz w:val="21"/>
                <w:szCs w:val="21"/>
              </w:rPr>
            </w:pPr>
            <w:r>
              <w:rPr>
                <w:rFonts w:hint="eastAsia" w:cs="Times New Roman"/>
                <w:color w:val="000000"/>
                <w:kern w:val="0"/>
                <w:sz w:val="21"/>
                <w:szCs w:val="21"/>
              </w:rPr>
              <w:t>碱性过硫酸钾消解</w:t>
            </w:r>
          </w:p>
          <w:p>
            <w:pPr>
              <w:widowControl/>
              <w:spacing w:line="240" w:lineRule="auto"/>
              <w:jc w:val="center"/>
              <w:rPr>
                <w:rFonts w:cs="Times New Roman"/>
                <w:color w:val="000000"/>
                <w:kern w:val="0"/>
                <w:sz w:val="21"/>
                <w:szCs w:val="21"/>
              </w:rPr>
            </w:pPr>
            <w:r>
              <w:rPr>
                <w:rFonts w:hint="eastAsia" w:cs="Times New Roman"/>
                <w:color w:val="000000"/>
                <w:kern w:val="0"/>
                <w:sz w:val="21"/>
                <w:szCs w:val="21"/>
              </w:rPr>
              <w:t>紫外分光光度法</w:t>
            </w:r>
          </w:p>
        </w:tc>
        <w:tc>
          <w:tcPr>
            <w:tcW w:w="3039" w:type="dxa"/>
            <w:tcBorders>
              <w:tl2br w:val="nil"/>
              <w:tr2bl w:val="nil"/>
            </w:tcBorders>
            <w:vAlign w:val="center"/>
          </w:tcPr>
          <w:p>
            <w:pPr>
              <w:widowControl/>
              <w:spacing w:line="240" w:lineRule="auto"/>
              <w:jc w:val="center"/>
              <w:rPr>
                <w:rFonts w:cs="Times New Roman"/>
                <w:color w:val="000000"/>
                <w:kern w:val="0"/>
                <w:sz w:val="21"/>
                <w:szCs w:val="21"/>
              </w:rPr>
            </w:pPr>
            <w:r>
              <w:rPr>
                <w:rFonts w:hint="eastAsia" w:cs="Times New Roman"/>
                <w:color w:val="000000"/>
                <w:kern w:val="0"/>
                <w:sz w:val="21"/>
                <w:szCs w:val="21"/>
              </w:rPr>
              <w:t xml:space="preserve">HJ 636-2012 </w:t>
            </w:r>
          </w:p>
        </w:tc>
        <w:tc>
          <w:tcPr>
            <w:tcW w:w="1480" w:type="dxa"/>
            <w:tcBorders>
              <w:tl2br w:val="nil"/>
              <w:tr2bl w:val="nil"/>
            </w:tcBorders>
            <w:vAlign w:val="center"/>
          </w:tcPr>
          <w:p>
            <w:pPr>
              <w:widowControl/>
              <w:spacing w:line="240" w:lineRule="auto"/>
              <w:jc w:val="center"/>
              <w:rPr>
                <w:rFonts w:cs="Times New Roman"/>
                <w:bCs/>
                <w:sz w:val="21"/>
                <w:szCs w:val="21"/>
              </w:rPr>
            </w:pPr>
            <w:r>
              <w:rPr>
                <w:rFonts w:hint="eastAsia" w:cs="Times New Roman"/>
                <w:bCs/>
                <w:sz w:val="21"/>
                <w:szCs w:val="21"/>
              </w:rPr>
              <w:t>0.05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7</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rPr>
              <w:t>总磷</w:t>
            </w:r>
          </w:p>
        </w:tc>
        <w:tc>
          <w:tcPr>
            <w:tcW w:w="2214" w:type="dxa"/>
            <w:tcBorders>
              <w:tl2br w:val="nil"/>
              <w:tr2bl w:val="nil"/>
            </w:tcBorders>
            <w:vAlign w:val="center"/>
          </w:tcPr>
          <w:p>
            <w:pPr>
              <w:widowControl/>
              <w:spacing w:line="240" w:lineRule="auto"/>
              <w:jc w:val="center"/>
              <w:rPr>
                <w:rFonts w:cs="Times New Roman"/>
                <w:color w:val="000000"/>
                <w:kern w:val="0"/>
                <w:sz w:val="21"/>
                <w:szCs w:val="21"/>
              </w:rPr>
            </w:pPr>
            <w:r>
              <w:rPr>
                <w:rFonts w:hint="eastAsia" w:cs="Times New Roman"/>
                <w:color w:val="000000"/>
                <w:kern w:val="0"/>
                <w:sz w:val="21"/>
                <w:szCs w:val="21"/>
              </w:rPr>
              <w:t>钼酸铵分光光度法</w:t>
            </w:r>
          </w:p>
        </w:tc>
        <w:tc>
          <w:tcPr>
            <w:tcW w:w="3039" w:type="dxa"/>
            <w:tcBorders>
              <w:tl2br w:val="nil"/>
              <w:tr2bl w:val="nil"/>
            </w:tcBorders>
            <w:vAlign w:val="center"/>
          </w:tcPr>
          <w:p>
            <w:pPr>
              <w:widowControl/>
              <w:spacing w:line="240" w:lineRule="auto"/>
              <w:jc w:val="center"/>
              <w:rPr>
                <w:rFonts w:cs="Times New Roman"/>
                <w:bCs/>
                <w:sz w:val="21"/>
                <w:szCs w:val="21"/>
              </w:rPr>
            </w:pPr>
            <w:r>
              <w:rPr>
                <w:rFonts w:hint="eastAsia" w:cs="Times New Roman"/>
                <w:color w:val="000000"/>
                <w:kern w:val="0"/>
                <w:sz w:val="21"/>
                <w:szCs w:val="21"/>
              </w:rPr>
              <w:t>GB/T 11893-1989</w:t>
            </w:r>
          </w:p>
        </w:tc>
        <w:tc>
          <w:tcPr>
            <w:tcW w:w="1480" w:type="dxa"/>
            <w:tcBorders>
              <w:tl2br w:val="nil"/>
              <w:tr2bl w:val="nil"/>
            </w:tcBorders>
            <w:vAlign w:val="center"/>
          </w:tcPr>
          <w:p>
            <w:pPr>
              <w:widowControl/>
              <w:spacing w:line="240" w:lineRule="auto"/>
              <w:jc w:val="center"/>
              <w:rPr>
                <w:rFonts w:cs="Times New Roman"/>
                <w:bCs/>
                <w:sz w:val="21"/>
                <w:szCs w:val="21"/>
              </w:rPr>
            </w:pPr>
            <w:r>
              <w:rPr>
                <w:rFonts w:hint="eastAsia" w:cs="Times New Roman"/>
                <w:bCs/>
                <w:sz w:val="21"/>
                <w:szCs w:val="21"/>
              </w:rPr>
              <w:t>0.01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8</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石油类</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红外分光光度法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HJ637-2012</w:t>
            </w:r>
          </w:p>
        </w:tc>
        <w:tc>
          <w:tcPr>
            <w:tcW w:w="1480" w:type="dxa"/>
            <w:tcBorders>
              <w:tl2br w:val="nil"/>
              <w:tr2bl w:val="nil"/>
            </w:tcBorders>
            <w:vAlign w:val="center"/>
          </w:tcPr>
          <w:p>
            <w:pPr>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0.04</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9</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氯离子</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硝酸银容量法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GB11896-1989</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2.0</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10</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总硬度</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乙二胺四乙酸二钠滴定法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GB/T5750.4-2006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1.0</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11</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总碱度</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滴定法</w:t>
            </w:r>
          </w:p>
        </w:tc>
        <w:tc>
          <w:tcPr>
            <w:tcW w:w="3039" w:type="dxa"/>
            <w:tcBorders>
              <w:tl2br w:val="nil"/>
              <w:tr2bl w:val="nil"/>
            </w:tcBorders>
            <w:vAlign w:val="center"/>
          </w:tcPr>
          <w:p>
            <w:pPr>
              <w:widowControl/>
              <w:spacing w:line="240" w:lineRule="auto"/>
              <w:jc w:val="center"/>
              <w:rPr>
                <w:rFonts w:hint="eastAsia" w:cs="Times New Roman"/>
                <w:bCs/>
                <w:sz w:val="21"/>
                <w:szCs w:val="21"/>
                <w:lang w:eastAsia="zh-CN"/>
              </w:rPr>
            </w:pPr>
            <w:r>
              <w:rPr>
                <w:rFonts w:hint="eastAsia" w:cs="Times New Roman"/>
                <w:bCs/>
                <w:sz w:val="21"/>
                <w:szCs w:val="21"/>
                <w:lang w:eastAsia="zh-CN"/>
              </w:rPr>
              <w:t>《水和废水监测分析方法》</w:t>
            </w:r>
          </w:p>
          <w:p>
            <w:pPr>
              <w:widowControl/>
              <w:spacing w:line="240" w:lineRule="auto"/>
              <w:jc w:val="center"/>
              <w:rPr>
                <w:rFonts w:hint="eastAsia" w:eastAsia="宋体" w:cs="Times New Roman"/>
                <w:bCs/>
                <w:sz w:val="21"/>
                <w:szCs w:val="21"/>
                <w:lang w:eastAsia="zh-CN"/>
              </w:rPr>
            </w:pPr>
            <w:r>
              <w:rPr>
                <w:rFonts w:hint="eastAsia" w:cs="Times New Roman"/>
                <w:bCs/>
                <w:sz w:val="21"/>
                <w:szCs w:val="21"/>
                <w:lang w:eastAsia="zh-CN"/>
              </w:rPr>
              <w:t>（第四版增补版）</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12</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溶解性总固体</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重量法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GB/T5750.4-2006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13</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硫化物</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亚甲基蓝分光光度法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GB/T16489/1996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0.005</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14</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浊度</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目视比浊法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GB13200-1991</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15</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总铁</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火焰原子吸收分光光度法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GB11911-1989</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0.03</w:t>
            </w:r>
          </w:p>
        </w:tc>
      </w:tr>
    </w:tbl>
    <w:p>
      <w:pPr>
        <w:rPr>
          <w:rFonts w:hint="eastAsia"/>
          <w:lang w:val="en-US" w:eastAsia="zh-CN"/>
        </w:rPr>
      </w:pPr>
    </w:p>
    <w:p>
      <w:pPr>
        <w:pStyle w:val="5"/>
        <w:spacing w:beforeLines="50"/>
        <w:jc w:val="center"/>
        <w:rPr>
          <w:rFonts w:hint="eastAsia" w:ascii="Times New Roman" w:hAnsi="Times New Roman" w:cs="Times New Roman"/>
          <w:sz w:val="24"/>
          <w:szCs w:val="24"/>
          <w:lang w:val="en-US" w:eastAsia="zh-CN"/>
        </w:rPr>
      </w:pPr>
      <w:bookmarkStart w:id="214" w:name="_Toc5440"/>
      <w:r>
        <w:rPr>
          <w:rFonts w:hint="eastAsia" w:ascii="Times New Roman" w:hAnsi="Times New Roman" w:cs="Times New Roman"/>
          <w:sz w:val="24"/>
          <w:szCs w:val="24"/>
          <w:lang w:eastAsia="zh-CN"/>
        </w:rPr>
        <w:t>表</w:t>
      </w:r>
      <w:r>
        <w:rPr>
          <w:rFonts w:hint="eastAsia" w:ascii="Times New Roman" w:hAnsi="Times New Roman" w:cs="Times New Roman"/>
          <w:sz w:val="24"/>
          <w:szCs w:val="24"/>
          <w:lang w:val="en-US" w:eastAsia="zh-CN"/>
        </w:rPr>
        <w:t>8.1-3  地下水监测分析方法</w:t>
      </w:r>
    </w:p>
    <w:tbl>
      <w:tblPr>
        <w:tblStyle w:val="27"/>
        <w:tblW w:w="8528" w:type="dxa"/>
        <w:jc w:val="center"/>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136"/>
        <w:gridCol w:w="2214"/>
        <w:gridCol w:w="3039"/>
        <w:gridCol w:w="1480"/>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b/>
                <w:sz w:val="21"/>
                <w:szCs w:val="21"/>
              </w:rPr>
            </w:pPr>
            <w:r>
              <w:rPr>
                <w:b/>
                <w:sz w:val="21"/>
                <w:szCs w:val="21"/>
              </w:rPr>
              <w:t>序</w:t>
            </w:r>
            <w:r>
              <w:rPr>
                <w:rFonts w:hint="eastAsia"/>
                <w:b/>
                <w:sz w:val="21"/>
                <w:szCs w:val="21"/>
              </w:rPr>
              <w:t>号</w:t>
            </w:r>
          </w:p>
        </w:tc>
        <w:tc>
          <w:tcPr>
            <w:tcW w:w="1136"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分析项目</w:t>
            </w:r>
          </w:p>
        </w:tc>
        <w:tc>
          <w:tcPr>
            <w:tcW w:w="2214"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分析方法</w:t>
            </w:r>
          </w:p>
        </w:tc>
        <w:tc>
          <w:tcPr>
            <w:tcW w:w="3039"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标准号</w:t>
            </w:r>
          </w:p>
        </w:tc>
        <w:tc>
          <w:tcPr>
            <w:tcW w:w="1480" w:type="dxa"/>
            <w:tcBorders>
              <w:tl2br w:val="nil"/>
              <w:tr2bl w:val="nil"/>
            </w:tcBorders>
            <w:vAlign w:val="center"/>
          </w:tcPr>
          <w:p>
            <w:pPr>
              <w:widowControl/>
              <w:jc w:val="center"/>
              <w:rPr>
                <w:rFonts w:cs="Times New Roman"/>
                <w:b/>
                <w:bCs/>
                <w:kern w:val="0"/>
                <w:sz w:val="21"/>
                <w:szCs w:val="21"/>
              </w:rPr>
            </w:pPr>
            <w:r>
              <w:rPr>
                <w:rFonts w:cs="Times New Roman"/>
                <w:b/>
                <w:bCs/>
                <w:kern w:val="0"/>
                <w:sz w:val="21"/>
                <w:szCs w:val="21"/>
              </w:rPr>
              <w:t>检出限</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sz w:val="21"/>
                <w:szCs w:val="21"/>
              </w:rPr>
              <w:t>1</w:t>
            </w:r>
          </w:p>
        </w:tc>
        <w:tc>
          <w:tcPr>
            <w:tcW w:w="1136" w:type="dxa"/>
            <w:tcBorders>
              <w:tl2br w:val="nil"/>
              <w:tr2bl w:val="nil"/>
            </w:tcBorders>
            <w:vAlign w:val="center"/>
          </w:tcPr>
          <w:p>
            <w:pPr>
              <w:widowControl/>
              <w:spacing w:line="240" w:lineRule="auto"/>
              <w:jc w:val="center"/>
              <w:rPr>
                <w:rFonts w:cs="Times New Roman"/>
                <w:sz w:val="21"/>
                <w:szCs w:val="21"/>
              </w:rPr>
            </w:pPr>
            <w:r>
              <w:rPr>
                <w:rFonts w:cs="Times New Roman"/>
                <w:sz w:val="21"/>
                <w:szCs w:val="21"/>
              </w:rPr>
              <w:t>pH值</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rPr>
              <w:t>玻璃电极法</w:t>
            </w:r>
          </w:p>
        </w:tc>
        <w:tc>
          <w:tcPr>
            <w:tcW w:w="3039" w:type="dxa"/>
            <w:tcBorders>
              <w:tl2br w:val="nil"/>
              <w:tr2bl w:val="nil"/>
            </w:tcBorders>
            <w:vAlign w:val="center"/>
          </w:tcPr>
          <w:p>
            <w:pPr>
              <w:widowControl/>
              <w:spacing w:line="240" w:lineRule="auto"/>
              <w:jc w:val="center"/>
              <w:rPr>
                <w:rFonts w:hint="default" w:ascii="Times New Roman" w:hAnsi="Times New Roman" w:cs="Times New Roman"/>
                <w:bCs/>
                <w:sz w:val="21"/>
                <w:szCs w:val="21"/>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spacing w:line="240" w:lineRule="auto"/>
              <w:jc w:val="center"/>
              <w:rPr>
                <w:rFonts w:hint="eastAsia"/>
                <w:lang w:val="en-US" w:eastAsia="zh-CN"/>
              </w:rPr>
            </w:pPr>
            <w:r>
              <w:rPr>
                <w:rFonts w:hint="eastAsia"/>
                <w:lang w:val="en-US" w:eastAsia="zh-CN"/>
              </w:rPr>
              <w:t>0.01pH</w:t>
            </w:r>
          </w:p>
          <w:p>
            <w:pPr>
              <w:pStyle w:val="5"/>
              <w:jc w:val="center"/>
              <w:rPr>
                <w:rFonts w:hint="eastAsia"/>
                <w:lang w:val="en-US" w:eastAsia="zh-CN"/>
              </w:rPr>
            </w:pPr>
            <w:r>
              <w:rPr>
                <w:rFonts w:hint="eastAsia" w:cs="Times New Roman"/>
                <w:b w:val="0"/>
                <w:bCs w:val="0"/>
                <w:sz w:val="21"/>
                <w:szCs w:val="21"/>
                <w:lang w:val="en-US" w:eastAsia="zh-CN"/>
              </w:rPr>
              <w:t>（无量纲）</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2</w:t>
            </w:r>
          </w:p>
        </w:tc>
        <w:tc>
          <w:tcPr>
            <w:tcW w:w="1136" w:type="dxa"/>
            <w:tcBorders>
              <w:tl2br w:val="nil"/>
              <w:tr2bl w:val="nil"/>
            </w:tcBorders>
            <w:vAlign w:val="center"/>
          </w:tcPr>
          <w:p>
            <w:pPr>
              <w:widowControl/>
              <w:spacing w:line="240" w:lineRule="auto"/>
              <w:jc w:val="center"/>
              <w:rPr>
                <w:rFonts w:cs="Times New Roman"/>
                <w:sz w:val="21"/>
                <w:szCs w:val="21"/>
              </w:rPr>
            </w:pPr>
            <w:r>
              <w:rPr>
                <w:rFonts w:hint="eastAsia" w:cs="Times New Roman"/>
                <w:sz w:val="21"/>
                <w:szCs w:val="21"/>
                <w:lang w:eastAsia="zh-CN"/>
              </w:rPr>
              <w:t>氨氮</w:t>
            </w:r>
            <w:r>
              <w:rPr>
                <w:rFonts w:hint="eastAsia" w:cs="Times New Roman"/>
                <w:sz w:val="21"/>
                <w:szCs w:val="21"/>
              </w:rPr>
              <w:t xml:space="preserve"> </w:t>
            </w:r>
          </w:p>
        </w:tc>
        <w:tc>
          <w:tcPr>
            <w:tcW w:w="2214" w:type="dxa"/>
            <w:tcBorders>
              <w:tl2br w:val="nil"/>
              <w:tr2bl w:val="nil"/>
            </w:tcBorders>
            <w:vAlign w:val="center"/>
          </w:tcPr>
          <w:p>
            <w:pPr>
              <w:widowControl/>
              <w:spacing w:line="240" w:lineRule="auto"/>
              <w:jc w:val="center"/>
              <w:rPr>
                <w:rFonts w:hint="eastAsia" w:eastAsia="宋体" w:cs="Times New Roman"/>
                <w:kern w:val="0"/>
                <w:sz w:val="21"/>
                <w:szCs w:val="21"/>
                <w:lang w:eastAsia="zh-CN"/>
              </w:rPr>
            </w:pPr>
            <w:r>
              <w:rPr>
                <w:rFonts w:hint="eastAsia" w:cs="Times New Roman"/>
                <w:color w:val="000000"/>
                <w:kern w:val="0"/>
                <w:sz w:val="21"/>
                <w:szCs w:val="21"/>
                <w:lang w:eastAsia="zh-CN"/>
              </w:rPr>
              <w:t>纳氏试剂分光光度法</w:t>
            </w:r>
          </w:p>
        </w:tc>
        <w:tc>
          <w:tcPr>
            <w:tcW w:w="3039" w:type="dxa"/>
            <w:tcBorders>
              <w:tl2br w:val="nil"/>
              <w:tr2bl w:val="nil"/>
            </w:tcBorders>
            <w:vAlign w:val="center"/>
          </w:tcPr>
          <w:p>
            <w:pPr>
              <w:spacing w:line="240" w:lineRule="auto"/>
              <w:jc w:val="center"/>
              <w:rPr>
                <w:rFonts w:hint="default" w:ascii="Times New Roman" w:hAnsi="Times New Roman" w:cs="Times New Roman"/>
                <w:bCs/>
                <w:sz w:val="21"/>
                <w:szCs w:val="21"/>
              </w:rPr>
            </w:pPr>
            <w:r>
              <w:rPr>
                <w:rFonts w:hint="eastAsia" w:ascii="Times New Roman" w:hAnsi="Times New Roman" w:cs="Times New Roman"/>
                <w:color w:val="000000"/>
                <w:kern w:val="0"/>
                <w:sz w:val="21"/>
                <w:szCs w:val="21"/>
                <w:lang w:val="en-US" w:eastAsia="zh-CN"/>
              </w:rPr>
              <w:t>GB/T5750.5-2006</w:t>
            </w:r>
          </w:p>
        </w:tc>
        <w:tc>
          <w:tcPr>
            <w:tcW w:w="1480" w:type="dxa"/>
            <w:tcBorders>
              <w:tl2br w:val="nil"/>
              <w:tr2bl w:val="nil"/>
            </w:tcBorders>
            <w:vAlign w:val="center"/>
          </w:tcPr>
          <w:p>
            <w:pPr>
              <w:spacing w:line="240" w:lineRule="auto"/>
              <w:jc w:val="center"/>
              <w:rPr>
                <w:rFonts w:cs="Times New Roman"/>
                <w:kern w:val="0"/>
                <w:sz w:val="21"/>
                <w:szCs w:val="21"/>
              </w:rPr>
            </w:pPr>
            <w:r>
              <w:rPr>
                <w:rFonts w:hint="eastAsia" w:cs="Times New Roman"/>
                <w:bCs/>
                <w:sz w:val="21"/>
                <w:szCs w:val="21"/>
                <w:lang w:val="en-US" w:eastAsia="zh-CN"/>
              </w:rPr>
              <w:t>0.02</w:t>
            </w:r>
            <w:r>
              <w:rPr>
                <w:rFonts w:hint="eastAsia" w:cs="Times New Roman"/>
                <w:bCs/>
                <w:sz w:val="21"/>
                <w:szCs w:val="21"/>
              </w:rPr>
              <w:t xml:space="preserve">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3</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高锰酸盐指数</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lang w:eastAsia="zh-CN"/>
              </w:rPr>
              <w:t>滴定</w:t>
            </w:r>
            <w:r>
              <w:rPr>
                <w:rFonts w:hint="eastAsia" w:cs="Times New Roman"/>
                <w:color w:val="000000"/>
                <w:kern w:val="0"/>
                <w:sz w:val="21"/>
                <w:szCs w:val="21"/>
              </w:rPr>
              <w:t>法</w:t>
            </w:r>
          </w:p>
        </w:tc>
        <w:tc>
          <w:tcPr>
            <w:tcW w:w="3039" w:type="dxa"/>
            <w:tcBorders>
              <w:tl2br w:val="nil"/>
              <w:tr2bl w:val="nil"/>
            </w:tcBorders>
            <w:vAlign w:val="center"/>
          </w:tcPr>
          <w:p>
            <w:pPr>
              <w:widowControl/>
              <w:spacing w:line="240" w:lineRule="auto"/>
              <w:jc w:val="center"/>
              <w:rPr>
                <w:rFonts w:hint="default" w:ascii="Times New Roman" w:hAnsi="Times New Roman" w:cs="Times New Roman"/>
                <w:bCs/>
                <w:sz w:val="21"/>
                <w:szCs w:val="21"/>
              </w:rPr>
            </w:pPr>
            <w:r>
              <w:rPr>
                <w:rFonts w:hint="default" w:ascii="Times New Roman" w:hAnsi="Times New Roman" w:cs="Times New Roman"/>
                <w:color w:val="000000"/>
                <w:kern w:val="0"/>
                <w:sz w:val="21"/>
                <w:szCs w:val="21"/>
              </w:rPr>
              <w:t>HJ 505-2009</w:t>
            </w:r>
          </w:p>
        </w:tc>
        <w:tc>
          <w:tcPr>
            <w:tcW w:w="1480"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bCs/>
                <w:sz w:val="21"/>
                <w:szCs w:val="21"/>
              </w:rPr>
              <w:t>0.5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4</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硝酸盐</w:t>
            </w:r>
          </w:p>
        </w:tc>
        <w:tc>
          <w:tcPr>
            <w:tcW w:w="2214" w:type="dxa"/>
            <w:tcBorders>
              <w:tl2br w:val="nil"/>
              <w:tr2bl w:val="nil"/>
            </w:tcBorders>
            <w:vAlign w:val="center"/>
          </w:tcPr>
          <w:p>
            <w:pPr>
              <w:widowControl/>
              <w:spacing w:line="240" w:lineRule="auto"/>
              <w:jc w:val="center"/>
              <w:rPr>
                <w:rFonts w:hint="eastAsia" w:eastAsia="宋体" w:cs="Times New Roman"/>
                <w:color w:val="FF0000"/>
                <w:kern w:val="0"/>
                <w:sz w:val="21"/>
                <w:szCs w:val="21"/>
                <w:lang w:eastAsia="zh-CN"/>
              </w:rPr>
            </w:pPr>
            <w:r>
              <w:rPr>
                <w:rFonts w:hint="eastAsia" w:cs="Times New Roman"/>
                <w:color w:val="000000"/>
                <w:kern w:val="0"/>
                <w:sz w:val="21"/>
                <w:szCs w:val="21"/>
                <w:lang w:eastAsia="zh-CN"/>
              </w:rPr>
              <w:t>紫外分光光度法</w:t>
            </w:r>
          </w:p>
        </w:tc>
        <w:tc>
          <w:tcPr>
            <w:tcW w:w="3039" w:type="dxa"/>
            <w:tcBorders>
              <w:tl2br w:val="nil"/>
              <w:tr2bl w:val="nil"/>
            </w:tcBorders>
            <w:vAlign w:val="center"/>
          </w:tcPr>
          <w:p>
            <w:pPr>
              <w:widowControl/>
              <w:spacing w:line="240" w:lineRule="auto"/>
              <w:jc w:val="center"/>
              <w:rPr>
                <w:rFonts w:hint="eastAsia" w:ascii="Times New Roman" w:hAnsi="Times New Roman" w:eastAsia="宋体" w:cs="Times New Roman"/>
                <w:bCs/>
                <w:color w:val="FF0000"/>
                <w:sz w:val="21"/>
                <w:szCs w:val="21"/>
                <w:lang w:val="en-US" w:eastAsia="zh-CN"/>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widowControl/>
              <w:spacing w:line="240" w:lineRule="auto"/>
              <w:jc w:val="center"/>
              <w:rPr>
                <w:rFonts w:cs="Times New Roman"/>
                <w:color w:val="FF0000"/>
                <w:kern w:val="0"/>
                <w:sz w:val="21"/>
                <w:szCs w:val="21"/>
              </w:rPr>
            </w:pPr>
            <w:r>
              <w:rPr>
                <w:rFonts w:hint="eastAsia" w:cs="Times New Roman"/>
                <w:bCs/>
                <w:sz w:val="21"/>
                <w:szCs w:val="21"/>
                <w:lang w:val="en-US" w:eastAsia="zh-CN"/>
              </w:rPr>
              <w:t>0.2</w:t>
            </w:r>
            <w:r>
              <w:rPr>
                <w:rFonts w:hint="eastAsia" w:cs="Times New Roman"/>
                <w:bCs/>
                <w:sz w:val="21"/>
                <w:szCs w:val="21"/>
              </w:rPr>
              <w:t xml:space="preserve">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5</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亚硝酸盐</w:t>
            </w:r>
          </w:p>
        </w:tc>
        <w:tc>
          <w:tcPr>
            <w:tcW w:w="2214" w:type="dxa"/>
            <w:tcBorders>
              <w:tl2br w:val="nil"/>
              <w:tr2bl w:val="nil"/>
            </w:tcBorders>
            <w:vAlign w:val="center"/>
          </w:tcPr>
          <w:p>
            <w:pPr>
              <w:widowControl/>
              <w:spacing w:line="240" w:lineRule="auto"/>
              <w:jc w:val="center"/>
              <w:rPr>
                <w:rFonts w:cs="Times New Roman"/>
                <w:kern w:val="0"/>
                <w:sz w:val="21"/>
                <w:szCs w:val="21"/>
              </w:rPr>
            </w:pPr>
            <w:r>
              <w:rPr>
                <w:rFonts w:hint="eastAsia" w:cs="Times New Roman"/>
                <w:color w:val="000000"/>
                <w:kern w:val="0"/>
                <w:sz w:val="21"/>
                <w:szCs w:val="21"/>
                <w:lang w:eastAsia="zh-CN"/>
              </w:rPr>
              <w:t>重氮偶合</w:t>
            </w:r>
            <w:r>
              <w:rPr>
                <w:rFonts w:hint="eastAsia" w:cs="Times New Roman"/>
                <w:color w:val="000000"/>
                <w:kern w:val="0"/>
                <w:sz w:val="21"/>
                <w:szCs w:val="21"/>
              </w:rPr>
              <w:t>分光光度法</w:t>
            </w:r>
          </w:p>
        </w:tc>
        <w:tc>
          <w:tcPr>
            <w:tcW w:w="3039" w:type="dxa"/>
            <w:tcBorders>
              <w:tl2br w:val="nil"/>
              <w:tr2bl w:val="nil"/>
            </w:tcBorders>
            <w:vAlign w:val="center"/>
          </w:tcPr>
          <w:p>
            <w:pPr>
              <w:widowControl/>
              <w:spacing w:line="240" w:lineRule="auto"/>
              <w:jc w:val="center"/>
              <w:rPr>
                <w:rFonts w:hint="default" w:ascii="Times New Roman" w:hAnsi="Times New Roman" w:cs="Times New Roman"/>
                <w:bCs/>
                <w:sz w:val="21"/>
                <w:szCs w:val="21"/>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spacing w:line="240" w:lineRule="auto"/>
              <w:jc w:val="center"/>
              <w:rPr>
                <w:rFonts w:cs="Times New Roman"/>
                <w:kern w:val="0"/>
                <w:sz w:val="21"/>
                <w:szCs w:val="21"/>
              </w:rPr>
            </w:pPr>
            <w:r>
              <w:rPr>
                <w:rFonts w:hint="eastAsia" w:cs="Times New Roman"/>
                <w:bCs/>
                <w:sz w:val="21"/>
                <w:szCs w:val="21"/>
              </w:rPr>
              <w:t>0.0</w:t>
            </w:r>
            <w:r>
              <w:rPr>
                <w:rFonts w:hint="eastAsia" w:cs="Times New Roman"/>
                <w:bCs/>
                <w:sz w:val="21"/>
                <w:szCs w:val="21"/>
                <w:lang w:val="en-US" w:eastAsia="zh-CN"/>
              </w:rPr>
              <w:t>01</w:t>
            </w:r>
            <w:r>
              <w:rPr>
                <w:rFonts w:hint="eastAsia" w:cs="Times New Roman"/>
                <w:bCs/>
                <w:sz w:val="21"/>
                <w:szCs w:val="21"/>
              </w:rPr>
              <w:t xml:space="preserve">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6</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硫酸盐</w:t>
            </w:r>
          </w:p>
        </w:tc>
        <w:tc>
          <w:tcPr>
            <w:tcW w:w="2214" w:type="dxa"/>
            <w:tcBorders>
              <w:tl2br w:val="nil"/>
              <w:tr2bl w:val="nil"/>
            </w:tcBorders>
            <w:vAlign w:val="center"/>
          </w:tcPr>
          <w:p>
            <w:pPr>
              <w:widowControl/>
              <w:spacing w:line="240" w:lineRule="auto"/>
              <w:jc w:val="center"/>
              <w:rPr>
                <w:rFonts w:hint="eastAsia" w:cs="Times New Roman"/>
                <w:color w:val="000000"/>
                <w:kern w:val="0"/>
                <w:sz w:val="21"/>
                <w:szCs w:val="21"/>
                <w:lang w:eastAsia="zh-CN"/>
              </w:rPr>
            </w:pPr>
            <w:r>
              <w:rPr>
                <w:rFonts w:hint="eastAsia" w:cs="Times New Roman"/>
                <w:color w:val="000000"/>
                <w:kern w:val="0"/>
                <w:sz w:val="21"/>
                <w:szCs w:val="21"/>
                <w:lang w:eastAsia="zh-CN"/>
              </w:rPr>
              <w:t>铬酸钡分光光度法</w:t>
            </w:r>
          </w:p>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（热法）</w:t>
            </w:r>
          </w:p>
        </w:tc>
        <w:tc>
          <w:tcPr>
            <w:tcW w:w="3039" w:type="dxa"/>
            <w:tcBorders>
              <w:tl2br w:val="nil"/>
              <w:tr2bl w:val="nil"/>
            </w:tcBorders>
            <w:vAlign w:val="center"/>
          </w:tcPr>
          <w:p>
            <w:pPr>
              <w:widowControl/>
              <w:spacing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r>
              <w:rPr>
                <w:rFonts w:hint="default" w:ascii="Times New Roman" w:hAnsi="Times New Roman" w:cs="Times New Roman"/>
                <w:color w:val="000000"/>
                <w:kern w:val="0"/>
                <w:sz w:val="21"/>
                <w:szCs w:val="21"/>
              </w:rPr>
              <w:t xml:space="preserve"> </w:t>
            </w:r>
          </w:p>
        </w:tc>
        <w:tc>
          <w:tcPr>
            <w:tcW w:w="1480" w:type="dxa"/>
            <w:tcBorders>
              <w:tl2br w:val="nil"/>
              <w:tr2bl w:val="nil"/>
            </w:tcBorders>
            <w:vAlign w:val="center"/>
          </w:tcPr>
          <w:p>
            <w:pPr>
              <w:widowControl/>
              <w:spacing w:line="240" w:lineRule="auto"/>
              <w:jc w:val="center"/>
              <w:rPr>
                <w:rFonts w:cs="Times New Roman"/>
                <w:bCs/>
                <w:sz w:val="21"/>
                <w:szCs w:val="21"/>
              </w:rPr>
            </w:pPr>
            <w:r>
              <w:rPr>
                <w:rFonts w:hint="eastAsia" w:cs="Times New Roman"/>
                <w:bCs/>
                <w:sz w:val="21"/>
                <w:szCs w:val="21"/>
                <w:lang w:val="en-US" w:eastAsia="zh-CN"/>
              </w:rPr>
              <w:t>5</w:t>
            </w:r>
            <w:r>
              <w:rPr>
                <w:rFonts w:hint="eastAsia" w:cs="Times New Roman"/>
                <w:bCs/>
                <w:sz w:val="21"/>
                <w:szCs w:val="21"/>
              </w:rPr>
              <w:t xml:space="preserve">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7</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硫化物</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val="en-US" w:eastAsia="zh-CN"/>
              </w:rPr>
            </w:pPr>
            <w:r>
              <w:rPr>
                <w:rFonts w:hint="eastAsia" w:cs="Times New Roman"/>
                <w:color w:val="000000"/>
                <w:kern w:val="0"/>
                <w:sz w:val="21"/>
                <w:szCs w:val="21"/>
                <w:lang w:val="en-US" w:eastAsia="zh-CN"/>
              </w:rPr>
              <w:t>N，N二乙基对苯二胺分光光度法</w:t>
            </w:r>
          </w:p>
        </w:tc>
        <w:tc>
          <w:tcPr>
            <w:tcW w:w="3039" w:type="dxa"/>
            <w:tcBorders>
              <w:tl2br w:val="nil"/>
              <w:tr2bl w:val="nil"/>
            </w:tcBorders>
            <w:vAlign w:val="center"/>
          </w:tcPr>
          <w:p>
            <w:pPr>
              <w:widowControl/>
              <w:spacing w:line="240" w:lineRule="auto"/>
              <w:jc w:val="center"/>
              <w:rPr>
                <w:rFonts w:hint="default" w:ascii="Times New Roman" w:hAnsi="Times New Roman" w:cs="Times New Roman"/>
                <w:bCs/>
                <w:sz w:val="21"/>
                <w:szCs w:val="21"/>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widowControl/>
              <w:spacing w:line="240" w:lineRule="auto"/>
              <w:jc w:val="center"/>
              <w:rPr>
                <w:rFonts w:cs="Times New Roman"/>
                <w:bCs/>
                <w:sz w:val="21"/>
                <w:szCs w:val="21"/>
              </w:rPr>
            </w:pPr>
            <w:r>
              <w:rPr>
                <w:rFonts w:hint="eastAsia" w:cs="Times New Roman"/>
                <w:bCs/>
                <w:sz w:val="21"/>
                <w:szCs w:val="21"/>
                <w:lang w:val="en-US" w:eastAsia="zh-CN"/>
              </w:rPr>
              <w:t>0.02</w:t>
            </w:r>
            <w:r>
              <w:rPr>
                <w:rFonts w:hint="eastAsia" w:cs="Times New Roman"/>
                <w:bCs/>
                <w:sz w:val="21"/>
                <w:szCs w:val="21"/>
              </w:rPr>
              <w:t xml:space="preserve"> 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8</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氯化物</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硝酸银容量法</w:t>
            </w:r>
          </w:p>
        </w:tc>
        <w:tc>
          <w:tcPr>
            <w:tcW w:w="3039" w:type="dxa"/>
            <w:tcBorders>
              <w:tl2br w:val="nil"/>
              <w:tr2bl w:val="nil"/>
            </w:tcBorders>
            <w:vAlign w:val="center"/>
          </w:tcPr>
          <w:p>
            <w:pPr>
              <w:widowControl/>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1.0</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sz w:val="21"/>
                <w:szCs w:val="21"/>
              </w:rPr>
            </w:pPr>
            <w:r>
              <w:rPr>
                <w:rFonts w:hint="eastAsia"/>
                <w:sz w:val="21"/>
                <w:szCs w:val="21"/>
              </w:rPr>
              <w:t>9</w:t>
            </w:r>
          </w:p>
        </w:tc>
        <w:tc>
          <w:tcPr>
            <w:tcW w:w="1136" w:type="dxa"/>
            <w:tcBorders>
              <w:tl2br w:val="nil"/>
              <w:tr2bl w:val="nil"/>
            </w:tcBorders>
            <w:vAlign w:val="center"/>
          </w:tcPr>
          <w:p>
            <w:pPr>
              <w:widowControl/>
              <w:spacing w:line="240" w:lineRule="auto"/>
              <w:jc w:val="center"/>
              <w:rPr>
                <w:rFonts w:hint="eastAsia" w:eastAsia="宋体" w:cs="Times New Roman"/>
                <w:sz w:val="21"/>
                <w:szCs w:val="21"/>
                <w:lang w:eastAsia="zh-CN"/>
              </w:rPr>
            </w:pPr>
            <w:r>
              <w:rPr>
                <w:rFonts w:hint="eastAsia" w:cs="Times New Roman"/>
                <w:sz w:val="21"/>
                <w:szCs w:val="21"/>
                <w:lang w:eastAsia="zh-CN"/>
              </w:rPr>
              <w:t>铁</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火焰原子吸收分光光度法</w:t>
            </w:r>
          </w:p>
        </w:tc>
        <w:tc>
          <w:tcPr>
            <w:tcW w:w="3039" w:type="dxa"/>
            <w:tcBorders>
              <w:tl2br w:val="nil"/>
              <w:tr2bl w:val="nil"/>
            </w:tcBorders>
            <w:vAlign w:val="center"/>
          </w:tcPr>
          <w:p>
            <w:pPr>
              <w:widowControl/>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0.03</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10</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总硬度</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乙二胺四乙酸二钠滴定法</w:t>
            </w:r>
          </w:p>
        </w:tc>
        <w:tc>
          <w:tcPr>
            <w:tcW w:w="3039" w:type="dxa"/>
            <w:tcBorders>
              <w:tl2br w:val="nil"/>
              <w:tr2bl w:val="nil"/>
            </w:tcBorders>
            <w:vAlign w:val="center"/>
          </w:tcPr>
          <w:p>
            <w:pPr>
              <w:widowControl/>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GB/T5750.4-2006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1.0</w:t>
            </w:r>
            <w:r>
              <w:rPr>
                <w:rFonts w:hint="eastAsia" w:cs="Times New Roman"/>
                <w:bCs/>
                <w:sz w:val="21"/>
                <w:szCs w:val="21"/>
              </w:rPr>
              <w:t>mg/L</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659" w:type="dxa"/>
            <w:tcBorders>
              <w:tl2br w:val="nil"/>
              <w:tr2bl w:val="nil"/>
            </w:tcBorders>
            <w:vAlign w:val="center"/>
          </w:tcPr>
          <w:p>
            <w:pPr>
              <w:spacing w:line="240" w:lineRule="auto"/>
              <w:jc w:val="center"/>
              <w:rPr>
                <w:rFonts w:hint="eastAsia" w:eastAsia="宋体"/>
                <w:sz w:val="21"/>
                <w:szCs w:val="21"/>
                <w:lang w:val="en-US" w:eastAsia="zh-CN"/>
              </w:rPr>
            </w:pPr>
            <w:r>
              <w:rPr>
                <w:rFonts w:hint="eastAsia"/>
                <w:sz w:val="21"/>
                <w:szCs w:val="21"/>
                <w:lang w:val="en-US" w:eastAsia="zh-CN"/>
              </w:rPr>
              <w:t>11</w:t>
            </w:r>
          </w:p>
        </w:tc>
        <w:tc>
          <w:tcPr>
            <w:tcW w:w="1136" w:type="dxa"/>
            <w:tcBorders>
              <w:tl2br w:val="nil"/>
              <w:tr2bl w:val="nil"/>
            </w:tcBorders>
            <w:vAlign w:val="center"/>
          </w:tcPr>
          <w:p>
            <w:pPr>
              <w:widowControl/>
              <w:spacing w:line="240" w:lineRule="auto"/>
              <w:jc w:val="center"/>
              <w:rPr>
                <w:rFonts w:hint="eastAsia" w:cs="Times New Roman"/>
                <w:sz w:val="21"/>
                <w:szCs w:val="21"/>
                <w:lang w:eastAsia="zh-CN"/>
              </w:rPr>
            </w:pPr>
            <w:r>
              <w:rPr>
                <w:rFonts w:hint="eastAsia" w:cs="Times New Roman"/>
                <w:sz w:val="21"/>
                <w:szCs w:val="21"/>
                <w:lang w:eastAsia="zh-CN"/>
              </w:rPr>
              <w:t>溶解性总固体</w:t>
            </w:r>
          </w:p>
        </w:tc>
        <w:tc>
          <w:tcPr>
            <w:tcW w:w="2214" w:type="dxa"/>
            <w:tcBorders>
              <w:tl2br w:val="nil"/>
              <w:tr2bl w:val="nil"/>
            </w:tcBorders>
            <w:vAlign w:val="center"/>
          </w:tcPr>
          <w:p>
            <w:pPr>
              <w:widowControl/>
              <w:spacing w:line="240" w:lineRule="auto"/>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重量法</w:t>
            </w:r>
          </w:p>
        </w:tc>
        <w:tc>
          <w:tcPr>
            <w:tcW w:w="3039" w:type="dxa"/>
            <w:tcBorders>
              <w:tl2br w:val="nil"/>
              <w:tr2bl w:val="nil"/>
            </w:tcBorders>
            <w:vAlign w:val="center"/>
          </w:tcPr>
          <w:p>
            <w:pPr>
              <w:widowControl/>
              <w:spacing w:line="240" w:lineRule="auto"/>
              <w:jc w:val="center"/>
              <w:rPr>
                <w:rFonts w:hint="eastAsia" w:eastAsia="宋体" w:cs="Times New Roman"/>
                <w:bCs/>
                <w:sz w:val="21"/>
                <w:szCs w:val="21"/>
                <w:lang w:eastAsia="zh-CN"/>
              </w:rPr>
            </w:pPr>
            <w:r>
              <w:rPr>
                <w:rFonts w:hint="default" w:ascii="Times New Roman" w:hAnsi="Times New Roman" w:cs="Times New Roman"/>
                <w:color w:val="000000"/>
                <w:kern w:val="0"/>
                <w:sz w:val="21"/>
                <w:szCs w:val="21"/>
              </w:rPr>
              <w:t>GB/T</w:t>
            </w:r>
            <w:r>
              <w:rPr>
                <w:rFonts w:hint="eastAsia" w:ascii="Times New Roman" w:hAnsi="Times New Roman" w:cs="Times New Roman"/>
                <w:color w:val="000000"/>
                <w:kern w:val="0"/>
                <w:sz w:val="21"/>
                <w:szCs w:val="21"/>
                <w:lang w:val="en-US" w:eastAsia="zh-CN"/>
              </w:rPr>
              <w:t>5750.6-2006</w:t>
            </w:r>
          </w:p>
        </w:tc>
        <w:tc>
          <w:tcPr>
            <w:tcW w:w="1480" w:type="dxa"/>
            <w:tcBorders>
              <w:tl2br w:val="nil"/>
              <w:tr2bl w:val="nil"/>
            </w:tcBorders>
            <w:vAlign w:val="center"/>
          </w:tcPr>
          <w:p>
            <w:pPr>
              <w:widowControl/>
              <w:spacing w:line="240" w:lineRule="auto"/>
              <w:jc w:val="center"/>
              <w:rPr>
                <w:rFonts w:hint="eastAsia" w:eastAsia="宋体" w:cs="Times New Roman"/>
                <w:bCs/>
                <w:sz w:val="21"/>
                <w:szCs w:val="21"/>
                <w:lang w:val="en-US" w:eastAsia="zh-CN"/>
              </w:rPr>
            </w:pPr>
            <w:r>
              <w:rPr>
                <w:rFonts w:hint="eastAsia" w:cs="Times New Roman"/>
                <w:bCs/>
                <w:sz w:val="21"/>
                <w:szCs w:val="21"/>
                <w:lang w:val="en-US" w:eastAsia="zh-CN"/>
              </w:rPr>
              <w:t>/</w:t>
            </w:r>
          </w:p>
        </w:tc>
      </w:tr>
    </w:tbl>
    <w:p>
      <w:pPr>
        <w:rPr>
          <w:rFonts w:hint="eastAsia"/>
          <w:lang w:val="en-US" w:eastAsia="zh-CN"/>
        </w:rPr>
      </w:pPr>
    </w:p>
    <w:p>
      <w:pPr>
        <w:autoSpaceDE w:val="0"/>
        <w:autoSpaceDN w:val="0"/>
        <w:spacing w:line="360" w:lineRule="auto"/>
        <w:rPr>
          <w:rFonts w:ascii="Times New Roman" w:hAnsi="Times New Roman" w:cs="Times New Roman"/>
          <w:sz w:val="24"/>
          <w:szCs w:val="24"/>
        </w:rPr>
      </w:pPr>
      <w:r>
        <w:rPr>
          <w:rFonts w:ascii="Times New Roman" w:hAnsi="Times New Roman" w:cs="Times New Roman"/>
          <w:b/>
          <w:bCs/>
          <w:sz w:val="24"/>
          <w:szCs w:val="24"/>
        </w:rPr>
        <w:t>8.2</w:t>
      </w:r>
      <w:bookmarkEnd w:id="214"/>
      <w:r>
        <w:rPr>
          <w:rFonts w:hint="eastAsia" w:ascii="Times New Roman" w:hAnsi="Times New Roman" w:cs="Times New Roman"/>
          <w:b/>
          <w:bCs/>
          <w:sz w:val="24"/>
          <w:szCs w:val="24"/>
        </w:rPr>
        <w:t>监测质量控制措施</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为保证验收工作科学、公正、合理，验收过程中严格按照各项操作规范进行：</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1</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现场工况依据《建设项目环境保护设施竣工环保验收技术指南 污染影响类》的相关规定，在主体工程稳定、环境保护设施运行正常的情况下进行。</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无组织废气采样按照《大气污染物无组织排放监测技术导则》的技术要求进行。</w:t>
      </w:r>
      <w:r>
        <w:rPr>
          <w:rFonts w:ascii="Times New Roman" w:hAnsi="Times New Roman" w:cs="Times New Roman"/>
          <w:sz w:val="24"/>
          <w:szCs w:val="24"/>
        </w:rPr>
        <w:t>废气监测前对使用的仪器进行流量校准，按规定对废气测试仪进行现场检漏。自动烟尘(气)仪流量</w:t>
      </w:r>
      <w:r>
        <w:rPr>
          <w:rFonts w:hint="eastAsia" w:ascii="Times New Roman" w:hAnsi="Times New Roman" w:cs="Times New Roman"/>
          <w:sz w:val="24"/>
          <w:szCs w:val="24"/>
        </w:rPr>
        <w:t>校准结果见表5-4~5。</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水质样品的采集、运输、保存严格按照《地表水和污水监测技术规范》（HJ/T91-2002）、《水质 采样技术方案设计技术指导》（HJ495-2009）、《水质 采样技术导则》（HJ494-2009）和《水质采样 样品的保存和管理技术规定》（HJ493-2009）的技术要求进行，见表5-6。</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4</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所有监测人员持证上岗，严格按照本站质量管理体系文件中的规定开展工作。</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5</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所用监测仪器通过计量部门检定并在检定有效期内。</w:t>
      </w:r>
    </w:p>
    <w:p>
      <w:pPr>
        <w:autoSpaceDE w:val="0"/>
        <w:autoSpaceDN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6</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各类记录及分析测试结果，按相关技术规范要求进行数据处理和填报，并进行三级审核。</w:t>
      </w:r>
    </w:p>
    <w:p>
      <w:pPr>
        <w:autoSpaceDE w:val="0"/>
        <w:autoSpaceDN w:val="0"/>
        <w:spacing w:line="360" w:lineRule="auto"/>
        <w:ind w:firstLine="480" w:firstLineChars="200"/>
      </w:pPr>
      <w:r>
        <w:rPr>
          <w:rFonts w:ascii="Times New Roman" w:hAnsi="Times New Roman" w:cs="Times New Roman"/>
          <w:sz w:val="24"/>
        </w:rPr>
        <w:br w:type="page"/>
      </w:r>
    </w:p>
    <w:bookmarkEnd w:id="205"/>
    <w:bookmarkEnd w:id="206"/>
    <w:bookmarkEnd w:id="207"/>
    <w:bookmarkEnd w:id="208"/>
    <w:bookmarkEnd w:id="209"/>
    <w:p>
      <w:pPr>
        <w:pStyle w:val="4"/>
        <w:jc w:val="both"/>
        <w:rPr>
          <w:rFonts w:cs="Times New Roman"/>
          <w:sz w:val="28"/>
          <w:szCs w:val="28"/>
        </w:rPr>
      </w:pPr>
      <w:bookmarkStart w:id="215" w:name="_Toc23649"/>
      <w:r>
        <w:rPr>
          <w:rFonts w:cs="Times New Roman"/>
          <w:sz w:val="28"/>
          <w:szCs w:val="28"/>
        </w:rPr>
        <w:t>9 验收监测结果</w:t>
      </w:r>
      <w:bookmarkEnd w:id="215"/>
    </w:p>
    <w:p>
      <w:pPr>
        <w:pStyle w:val="5"/>
        <w:rPr>
          <w:rFonts w:ascii="Times New Roman" w:hAnsi="Times New Roman" w:cs="Times New Roman"/>
          <w:sz w:val="24"/>
          <w:szCs w:val="24"/>
        </w:rPr>
      </w:pPr>
      <w:bookmarkStart w:id="216" w:name="_Toc22197"/>
      <w:bookmarkStart w:id="217" w:name="_Toc406660972"/>
      <w:r>
        <w:rPr>
          <w:rFonts w:ascii="Times New Roman" w:hAnsi="Times New Roman" w:cs="Times New Roman"/>
          <w:sz w:val="24"/>
          <w:szCs w:val="24"/>
        </w:rPr>
        <w:t>9.1生产工况</w:t>
      </w:r>
      <w:bookmarkEnd w:id="216"/>
      <w:bookmarkEnd w:id="217"/>
    </w:p>
    <w:p>
      <w:pPr>
        <w:spacing w:line="360" w:lineRule="auto"/>
        <w:ind w:firstLine="480" w:firstLineChars="200"/>
        <w:rPr>
          <w:rFonts w:ascii="Times New Roman" w:hAnsi="Times New Roman" w:cs="Times New Roman"/>
          <w:sz w:val="24"/>
        </w:rPr>
      </w:pPr>
      <w:r>
        <w:rPr>
          <w:rFonts w:ascii="Times New Roman" w:hAnsi="Times New Roman" w:cs="Times New Roman"/>
          <w:sz w:val="24"/>
        </w:rPr>
        <w:t>验收监测期间，项目主体工程实际产量记录见下表。根据</w:t>
      </w:r>
      <w:r>
        <w:rPr>
          <w:rFonts w:hint="eastAsia" w:ascii="Times New Roman" w:hAnsi="Times New Roman" w:cs="Times New Roman"/>
          <w:sz w:val="24"/>
          <w:lang w:eastAsia="zh-CN"/>
        </w:rPr>
        <w:t>污水处理量</w:t>
      </w:r>
      <w:r>
        <w:rPr>
          <w:rFonts w:ascii="Times New Roman" w:hAnsi="Times New Roman" w:cs="Times New Roman"/>
          <w:sz w:val="24"/>
        </w:rPr>
        <w:t>核算法，</w:t>
      </w:r>
      <w:r>
        <w:rPr>
          <w:rFonts w:hint="eastAsia" w:ascii="Times New Roman" w:hAnsi="Times New Roman" w:cs="Times New Roman"/>
          <w:sz w:val="24"/>
          <w:lang w:eastAsia="zh-CN"/>
        </w:rPr>
        <w:t>本项目</w:t>
      </w:r>
      <w:r>
        <w:rPr>
          <w:rFonts w:ascii="Times New Roman" w:hAnsi="Times New Roman" w:cs="Times New Roman"/>
          <w:sz w:val="24"/>
        </w:rPr>
        <w:t>工况</w:t>
      </w:r>
      <w:r>
        <w:rPr>
          <w:rFonts w:hint="eastAsia" w:ascii="Times New Roman" w:hAnsi="Times New Roman" w:cs="Times New Roman"/>
          <w:sz w:val="24"/>
          <w:lang w:eastAsia="zh-CN"/>
        </w:rPr>
        <w:t>负荷</w:t>
      </w:r>
      <w:r>
        <w:rPr>
          <w:rFonts w:ascii="Times New Roman" w:hAnsi="Times New Roman" w:cs="Times New Roman"/>
          <w:sz w:val="24"/>
        </w:rPr>
        <w:t>为</w:t>
      </w:r>
      <w:r>
        <w:rPr>
          <w:rFonts w:hint="eastAsia" w:ascii="Times New Roman" w:hAnsi="Times New Roman" w:cs="Times New Roman"/>
          <w:color w:val="auto"/>
          <w:sz w:val="24"/>
          <w:lang w:val="en-US" w:eastAsia="zh-CN"/>
        </w:rPr>
        <w:t>81.3</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-99.5%</w:t>
      </w:r>
      <w:r>
        <w:rPr>
          <w:rFonts w:ascii="Times New Roman" w:hAnsi="Times New Roman" w:cs="Times New Roman"/>
          <w:color w:val="auto"/>
          <w:sz w:val="24"/>
        </w:rPr>
        <w:t>，</w:t>
      </w:r>
      <w:r>
        <w:rPr>
          <w:rFonts w:ascii="Times New Roman" w:hAnsi="Times New Roman" w:cs="Times New Roman"/>
          <w:sz w:val="24"/>
        </w:rPr>
        <w:t>符合75%以上的工况负荷要求，各环保设施运行正常。验收期间工况见表9.1-1。</w:t>
      </w:r>
    </w:p>
    <w:p>
      <w:pPr>
        <w:pStyle w:val="5"/>
        <w:jc w:val="center"/>
        <w:rPr>
          <w:rFonts w:ascii="Times New Roman" w:hAnsi="Times New Roman" w:cs="Times New Roman"/>
        </w:rPr>
      </w:pPr>
      <w:bookmarkStart w:id="218" w:name="_Toc21617"/>
      <w:bookmarkStart w:id="219" w:name="_Toc18766"/>
      <w:r>
        <w:rPr>
          <w:rFonts w:ascii="Times New Roman" w:hAnsi="Times New Roman" w:cs="Times New Roman"/>
          <w:sz w:val="24"/>
        </w:rPr>
        <w:t>表9.1-1  验收监测期间生产工况表</w:t>
      </w:r>
      <w:bookmarkEnd w:id="218"/>
      <w:bookmarkEnd w:id="219"/>
    </w:p>
    <w:tbl>
      <w:tblPr>
        <w:tblStyle w:val="2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Align w:val="center"/>
          </w:tcPr>
          <w:p>
            <w:pPr>
              <w:jc w:val="center"/>
              <w:rPr>
                <w:rFonts w:ascii="Times New Roman" w:hAnsi="Times New Roman" w:cs="Times New Roman"/>
              </w:rPr>
            </w:pPr>
            <w:r>
              <w:rPr>
                <w:rFonts w:ascii="Times New Roman" w:hAnsi="Times New Roman" w:cs="Times New Roman"/>
                <w:szCs w:val="21"/>
              </w:rPr>
              <w:t>监测日期</w:t>
            </w:r>
          </w:p>
        </w:tc>
        <w:tc>
          <w:tcPr>
            <w:tcW w:w="1705" w:type="dxa"/>
            <w:vAlign w:val="center"/>
          </w:tcPr>
          <w:p>
            <w:pPr>
              <w:jc w:val="center"/>
              <w:rPr>
                <w:rFonts w:ascii="Times New Roman" w:hAnsi="Times New Roman" w:cs="Times New Roman"/>
              </w:rPr>
            </w:pPr>
            <w:r>
              <w:rPr>
                <w:rFonts w:hint="eastAsia" w:ascii="Times New Roman" w:hAnsi="Times New Roman" w:cs="Times New Roman"/>
                <w:szCs w:val="21"/>
                <w:lang w:eastAsia="zh-CN"/>
              </w:rPr>
              <w:t>处理</w:t>
            </w:r>
            <w:r>
              <w:rPr>
                <w:rFonts w:ascii="Times New Roman" w:hAnsi="Times New Roman" w:cs="Times New Roman"/>
                <w:szCs w:val="21"/>
              </w:rPr>
              <w:t>类别</w:t>
            </w:r>
          </w:p>
        </w:tc>
        <w:tc>
          <w:tcPr>
            <w:tcW w:w="1706" w:type="dxa"/>
            <w:vAlign w:val="center"/>
          </w:tcPr>
          <w:p>
            <w:pPr>
              <w:jc w:val="center"/>
              <w:rPr>
                <w:rFonts w:ascii="Times New Roman" w:hAnsi="Times New Roman" w:cs="Times New Roman"/>
                <w:szCs w:val="21"/>
              </w:rPr>
            </w:pPr>
            <w:r>
              <w:rPr>
                <w:rFonts w:ascii="Times New Roman" w:hAnsi="Times New Roman" w:cs="Times New Roman"/>
                <w:szCs w:val="21"/>
              </w:rPr>
              <w:t>设计</w:t>
            </w:r>
            <w:r>
              <w:rPr>
                <w:rFonts w:hint="eastAsia" w:ascii="Times New Roman" w:hAnsi="Times New Roman" w:cs="Times New Roman"/>
                <w:szCs w:val="21"/>
                <w:lang w:eastAsia="zh-CN"/>
              </w:rPr>
              <w:t>处理</w:t>
            </w:r>
            <w:r>
              <w:rPr>
                <w:rFonts w:ascii="Times New Roman" w:hAnsi="Times New Roman" w:cs="Times New Roman"/>
                <w:szCs w:val="21"/>
              </w:rPr>
              <w:t>能力</w:t>
            </w:r>
          </w:p>
          <w:p>
            <w:pPr>
              <w:jc w:val="center"/>
              <w:rPr>
                <w:rFonts w:ascii="Times New Roman" w:hAnsi="Times New Roman" w:cs="Times New Roman"/>
              </w:rPr>
            </w:pPr>
            <w:r>
              <w:rPr>
                <w:rFonts w:ascii="Times New Roman" w:hAnsi="Times New Roman" w:cs="Times New Roman"/>
                <w:szCs w:val="21"/>
              </w:rPr>
              <w:t>（</w:t>
            </w:r>
            <w:r>
              <w:rPr>
                <w:rFonts w:hint="eastAsia" w:ascii="Times New Roman" w:hAnsi="Times New Roman" w:cs="Times New Roman"/>
                <w:szCs w:val="21"/>
                <w:lang w:val="en-US" w:eastAsia="zh-CN"/>
              </w:rPr>
              <w:t>m</w:t>
            </w:r>
            <w:r>
              <w:rPr>
                <w:rFonts w:hint="eastAsia" w:ascii="Times New Roman" w:hAnsi="Times New Roman" w:cs="Times New Roman"/>
                <w:szCs w:val="21"/>
                <w:vertAlign w:val="superscript"/>
                <w:lang w:val="en-US" w:eastAsia="zh-CN"/>
              </w:rPr>
              <w:t>3</w:t>
            </w:r>
            <w:r>
              <w:rPr>
                <w:rFonts w:ascii="Times New Roman" w:hAnsi="Times New Roman" w:cs="Times New Roman"/>
                <w:szCs w:val="21"/>
              </w:rPr>
              <w:t>/</w:t>
            </w:r>
            <w:r>
              <w:rPr>
                <w:rFonts w:hint="eastAsia" w:ascii="Times New Roman" w:hAnsi="Times New Roman" w:cs="Times New Roman"/>
                <w:szCs w:val="21"/>
                <w:lang w:val="en-US" w:eastAsia="zh-CN"/>
              </w:rPr>
              <w:t>d</w:t>
            </w:r>
            <w:r>
              <w:rPr>
                <w:rFonts w:ascii="Times New Roman" w:hAnsi="Times New Roman" w:cs="Times New Roman"/>
                <w:szCs w:val="21"/>
              </w:rPr>
              <w:t>）</w:t>
            </w:r>
          </w:p>
        </w:tc>
        <w:tc>
          <w:tcPr>
            <w:tcW w:w="1706" w:type="dxa"/>
            <w:vAlign w:val="center"/>
          </w:tcPr>
          <w:p>
            <w:pPr>
              <w:jc w:val="center"/>
              <w:rPr>
                <w:rFonts w:ascii="Times New Roman" w:hAnsi="Times New Roman" w:cs="Times New Roman"/>
                <w:szCs w:val="21"/>
              </w:rPr>
            </w:pPr>
            <w:r>
              <w:rPr>
                <w:rFonts w:ascii="Times New Roman" w:hAnsi="Times New Roman" w:cs="Times New Roman"/>
                <w:szCs w:val="21"/>
              </w:rPr>
              <w:t>实际</w:t>
            </w:r>
            <w:r>
              <w:rPr>
                <w:rFonts w:hint="eastAsia" w:ascii="Times New Roman" w:hAnsi="Times New Roman" w:cs="Times New Roman"/>
                <w:szCs w:val="21"/>
                <w:lang w:eastAsia="zh-CN"/>
              </w:rPr>
              <w:t>处理</w:t>
            </w:r>
            <w:r>
              <w:rPr>
                <w:rFonts w:ascii="Times New Roman" w:hAnsi="Times New Roman" w:cs="Times New Roman"/>
                <w:szCs w:val="21"/>
              </w:rPr>
              <w:t>能力</w:t>
            </w:r>
          </w:p>
          <w:p>
            <w:pPr>
              <w:jc w:val="center"/>
              <w:rPr>
                <w:rFonts w:ascii="Times New Roman" w:hAnsi="Times New Roman" w:cs="Times New Roman"/>
              </w:rPr>
            </w:pPr>
            <w:r>
              <w:rPr>
                <w:rFonts w:ascii="Times New Roman" w:hAnsi="Times New Roman" w:cs="Times New Roman"/>
                <w:szCs w:val="21"/>
              </w:rPr>
              <w:t>（</w:t>
            </w:r>
            <w:r>
              <w:rPr>
                <w:rFonts w:hint="eastAsia" w:ascii="Times New Roman" w:hAnsi="Times New Roman" w:cs="Times New Roman"/>
                <w:szCs w:val="21"/>
                <w:lang w:val="en-US" w:eastAsia="zh-CN"/>
              </w:rPr>
              <w:t>m</w:t>
            </w:r>
            <w:r>
              <w:rPr>
                <w:rFonts w:hint="eastAsia" w:ascii="Times New Roman" w:hAnsi="Times New Roman" w:cs="Times New Roman"/>
                <w:szCs w:val="21"/>
                <w:vertAlign w:val="superscript"/>
                <w:lang w:val="en-US" w:eastAsia="zh-CN"/>
              </w:rPr>
              <w:t>3</w:t>
            </w:r>
            <w:r>
              <w:rPr>
                <w:rFonts w:ascii="Times New Roman" w:hAnsi="Times New Roman" w:cs="Times New Roman"/>
                <w:szCs w:val="21"/>
              </w:rPr>
              <w:t>/</w:t>
            </w:r>
            <w:r>
              <w:rPr>
                <w:rFonts w:hint="eastAsia" w:ascii="Times New Roman" w:hAnsi="Times New Roman" w:cs="Times New Roman"/>
                <w:szCs w:val="21"/>
                <w:lang w:val="en-US" w:eastAsia="zh-CN"/>
              </w:rPr>
              <w:t>d</w:t>
            </w:r>
            <w:r>
              <w:rPr>
                <w:rFonts w:ascii="Times New Roman" w:hAnsi="Times New Roman" w:cs="Times New Roman"/>
                <w:szCs w:val="21"/>
              </w:rPr>
              <w:t xml:space="preserve"> ）</w:t>
            </w:r>
          </w:p>
        </w:tc>
        <w:tc>
          <w:tcPr>
            <w:tcW w:w="1706" w:type="dxa"/>
            <w:vAlign w:val="center"/>
          </w:tcPr>
          <w:p>
            <w:pPr>
              <w:spacing w:line="360" w:lineRule="auto"/>
              <w:jc w:val="center"/>
              <w:rPr>
                <w:rFonts w:ascii="Times New Roman" w:hAnsi="Times New Roman" w:cs="Times New Roman"/>
              </w:rPr>
            </w:pPr>
            <w:r>
              <w:rPr>
                <w:rFonts w:ascii="Times New Roman" w:hAnsi="Times New Roman" w:cs="Times New Roman"/>
                <w:szCs w:val="21"/>
              </w:rPr>
              <w:t>工况负荷（%）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restart"/>
            <w:vAlign w:val="center"/>
          </w:tcPr>
          <w:p>
            <w:pPr>
              <w:jc w:val="center"/>
              <w:rPr>
                <w:rFonts w:hint="eastAsia" w:ascii="Times New Roman" w:hAnsi="Times New Roman" w:eastAsia="宋体" w:cs="Times New Roman"/>
                <w:color w:val="auto"/>
                <w:lang w:val="en-US" w:eastAsia="zh-CN"/>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16</w:t>
            </w:r>
          </w:p>
        </w:tc>
        <w:tc>
          <w:tcPr>
            <w:tcW w:w="1705" w:type="dxa"/>
            <w:vAlign w:val="center"/>
          </w:tcPr>
          <w:p>
            <w:pPr>
              <w:jc w:val="center"/>
              <w:rPr>
                <w:rFonts w:hint="eastAsia" w:ascii="Times New Roman" w:hAnsi="Times New Roman" w:eastAsia="宋体" w:cs="Times New Roman"/>
                <w:lang w:eastAsia="zh-CN"/>
              </w:rPr>
            </w:pPr>
            <w:r>
              <w:rPr>
                <w:rFonts w:hint="eastAsia" w:ascii="Times New Roman" w:hAnsi="Times New Roman" w:cs="Times New Roman"/>
                <w:szCs w:val="21"/>
                <w:lang w:eastAsia="zh-CN"/>
              </w:rPr>
              <w:t>废水处理</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FF0000"/>
                <w:lang w:val="en-US" w:eastAsia="zh-CN"/>
              </w:rPr>
            </w:pPr>
            <w:r>
              <w:rPr>
                <w:rFonts w:hint="eastAsia" w:ascii="Times New Roman" w:hAnsi="Times New Roman" w:cs="Times New Roman"/>
                <w:color w:val="auto"/>
                <w:szCs w:val="21"/>
                <w:lang w:val="en-US" w:eastAsia="zh-CN"/>
              </w:rPr>
              <w:t>4353</w:t>
            </w:r>
          </w:p>
        </w:tc>
        <w:tc>
          <w:tcPr>
            <w:tcW w:w="1706" w:type="dxa"/>
            <w:vAlign w:val="center"/>
          </w:tcPr>
          <w:p>
            <w:pPr>
              <w:jc w:val="center"/>
              <w:rPr>
                <w:rFonts w:ascii="Times New Roman" w:hAnsi="Times New Roman" w:cs="Times New Roman"/>
                <w:color w:val="FF0000"/>
              </w:rPr>
            </w:pPr>
            <w:r>
              <w:rPr>
                <w:rFonts w:hint="eastAsia" w:ascii="Times New Roman" w:hAnsi="Times New Roman" w:cs="Times New Roman"/>
                <w:color w:val="auto"/>
                <w:szCs w:val="21"/>
                <w:lang w:val="en-US" w:eastAsia="zh-CN"/>
              </w:rPr>
              <w:t>82.4</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continue"/>
            <w:vAlign w:val="center"/>
          </w:tcPr>
          <w:p>
            <w:pPr>
              <w:jc w:val="center"/>
              <w:rPr>
                <w:rFonts w:ascii="Times New Roman" w:hAnsi="Times New Roman" w:cs="Times New Roman"/>
                <w:color w:val="auto"/>
              </w:rPr>
            </w:pPr>
          </w:p>
        </w:tc>
        <w:tc>
          <w:tcPr>
            <w:tcW w:w="1705" w:type="dxa"/>
            <w:vAlign w:val="center"/>
          </w:tcPr>
          <w:p>
            <w:pPr>
              <w:jc w:val="center"/>
              <w:rPr>
                <w:rFonts w:hint="eastAsia" w:ascii="Times New Roman" w:hAnsi="Times New Roman" w:eastAsia="宋体" w:cs="Times New Roman"/>
                <w:lang w:eastAsia="zh-CN"/>
              </w:rPr>
            </w:pPr>
            <w:r>
              <w:rPr>
                <w:rFonts w:hint="eastAsia" w:ascii="Times New Roman" w:hAnsi="Times New Roman" w:cs="Times New Roman"/>
                <w:szCs w:val="21"/>
                <w:lang w:eastAsia="zh-CN"/>
              </w:rPr>
              <w:t>中水处理</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3600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3032</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84.2</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restart"/>
            <w:vAlign w:val="center"/>
          </w:tcPr>
          <w:p>
            <w:pPr>
              <w:jc w:val="center"/>
              <w:rPr>
                <w:rFonts w:ascii="Times New Roman" w:hAnsi="Times New Roman" w:cs="Times New Roman"/>
                <w:color w:val="auto"/>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17</w:t>
            </w:r>
          </w:p>
        </w:tc>
        <w:tc>
          <w:tcPr>
            <w:tcW w:w="1705" w:type="dxa"/>
            <w:vAlign w:val="center"/>
          </w:tcPr>
          <w:p>
            <w:pPr>
              <w:jc w:val="center"/>
              <w:rPr>
                <w:rFonts w:ascii="Times New Roman" w:hAnsi="Times New Roman" w:cs="Times New Roman"/>
              </w:rPr>
            </w:pPr>
            <w:r>
              <w:rPr>
                <w:rFonts w:hint="eastAsia" w:ascii="Times New Roman" w:hAnsi="Times New Roman" w:cs="Times New Roman"/>
                <w:szCs w:val="21"/>
                <w:lang w:eastAsia="zh-CN"/>
              </w:rPr>
              <w:t>废水处理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4290</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81.3</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continue"/>
            <w:vAlign w:val="center"/>
          </w:tcPr>
          <w:p>
            <w:pPr>
              <w:jc w:val="center"/>
              <w:rPr>
                <w:rFonts w:ascii="Times New Roman" w:hAnsi="Times New Roman" w:cs="Times New Roman"/>
                <w:color w:val="auto"/>
              </w:rPr>
            </w:pPr>
          </w:p>
        </w:tc>
        <w:tc>
          <w:tcPr>
            <w:tcW w:w="1705" w:type="dxa"/>
            <w:vAlign w:val="center"/>
          </w:tcPr>
          <w:p>
            <w:pPr>
              <w:jc w:val="center"/>
              <w:rPr>
                <w:rFonts w:ascii="Times New Roman" w:hAnsi="Times New Roman" w:cs="Times New Roman"/>
              </w:rPr>
            </w:pPr>
            <w:r>
              <w:rPr>
                <w:rFonts w:hint="eastAsia" w:ascii="Times New Roman" w:hAnsi="Times New Roman" w:cs="Times New Roman"/>
                <w:szCs w:val="21"/>
                <w:lang w:eastAsia="zh-CN"/>
              </w:rPr>
              <w:t>中水处理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3600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3583</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99.5</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restart"/>
            <w:vAlign w:val="center"/>
          </w:tcPr>
          <w:p>
            <w:pPr>
              <w:jc w:val="center"/>
              <w:rPr>
                <w:rFonts w:ascii="Times New Roman" w:hAnsi="Times New Roman" w:cs="Times New Roman"/>
                <w:color w:val="auto"/>
              </w:rPr>
            </w:pPr>
            <w:r>
              <w:rPr>
                <w:rFonts w:ascii="Times New Roman" w:hAnsi="Times New Roman" w:cs="Times New Roman"/>
                <w:color w:val="auto"/>
                <w:szCs w:val="21"/>
              </w:rPr>
              <w:t>2018.</w:t>
            </w:r>
            <w:r>
              <w:rPr>
                <w:rFonts w:hint="eastAsia" w:ascii="Times New Roman" w:hAnsi="Times New Roman" w:cs="Times New Roman"/>
                <w:color w:val="auto"/>
                <w:szCs w:val="21"/>
                <w:lang w:val="en-US" w:eastAsia="zh-CN"/>
              </w:rPr>
              <w:t>11</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18</w:t>
            </w:r>
          </w:p>
        </w:tc>
        <w:tc>
          <w:tcPr>
            <w:tcW w:w="1705" w:type="dxa"/>
            <w:vAlign w:val="center"/>
          </w:tcPr>
          <w:p>
            <w:pPr>
              <w:jc w:val="center"/>
              <w:rPr>
                <w:rFonts w:ascii="Times New Roman" w:hAnsi="Times New Roman" w:cs="Times New Roman"/>
              </w:rPr>
            </w:pPr>
            <w:r>
              <w:rPr>
                <w:rFonts w:hint="eastAsia" w:ascii="Times New Roman" w:hAnsi="Times New Roman" w:cs="Times New Roman"/>
                <w:szCs w:val="21"/>
                <w:lang w:eastAsia="zh-CN"/>
              </w:rPr>
              <w:t>废水处理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5280</w:t>
            </w:r>
          </w:p>
        </w:tc>
        <w:tc>
          <w:tcPr>
            <w:tcW w:w="1706" w:type="dxa"/>
            <w:vAlign w:val="center"/>
          </w:tcPr>
          <w:p>
            <w:pPr>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szCs w:val="21"/>
                <w:lang w:val="en-US" w:eastAsia="zh-CN"/>
              </w:rPr>
              <w:t>4342</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82.2</w:t>
            </w:r>
            <w:r>
              <w:rPr>
                <w:rFonts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1705" w:type="dxa"/>
            <w:vMerge w:val="continue"/>
            <w:vAlign w:val="center"/>
          </w:tcPr>
          <w:p>
            <w:pPr>
              <w:jc w:val="center"/>
              <w:rPr>
                <w:rFonts w:ascii="Times New Roman" w:hAnsi="Times New Roman" w:cs="Times New Roman"/>
              </w:rPr>
            </w:pPr>
          </w:p>
        </w:tc>
        <w:tc>
          <w:tcPr>
            <w:tcW w:w="1705" w:type="dxa"/>
            <w:vAlign w:val="center"/>
          </w:tcPr>
          <w:p>
            <w:pPr>
              <w:jc w:val="center"/>
              <w:rPr>
                <w:rFonts w:ascii="Times New Roman" w:hAnsi="Times New Roman" w:cs="Times New Roman"/>
              </w:rPr>
            </w:pPr>
            <w:r>
              <w:rPr>
                <w:rFonts w:hint="eastAsia" w:ascii="Times New Roman" w:hAnsi="Times New Roman" w:cs="Times New Roman"/>
                <w:szCs w:val="21"/>
                <w:lang w:eastAsia="zh-CN"/>
              </w:rPr>
              <w:t>中水处理</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3600</w:t>
            </w:r>
          </w:p>
        </w:tc>
        <w:tc>
          <w:tcPr>
            <w:tcW w:w="1706" w:type="dxa"/>
            <w:vAlign w:val="center"/>
          </w:tcPr>
          <w:p>
            <w:pPr>
              <w:jc w:val="center"/>
              <w:rPr>
                <w:rFonts w:ascii="Times New Roman" w:hAnsi="Times New Roman" w:cs="Times New Roman"/>
                <w:color w:val="auto"/>
                <w:lang w:val="en-US"/>
              </w:rPr>
            </w:pPr>
            <w:r>
              <w:rPr>
                <w:rFonts w:hint="eastAsia" w:ascii="Times New Roman" w:hAnsi="Times New Roman" w:cs="Times New Roman"/>
                <w:color w:val="auto"/>
                <w:szCs w:val="21"/>
                <w:lang w:val="en-US" w:eastAsia="zh-CN"/>
              </w:rPr>
              <w:t>2966</w:t>
            </w:r>
          </w:p>
        </w:tc>
        <w:tc>
          <w:tcPr>
            <w:tcW w:w="1706" w:type="dxa"/>
            <w:vAlign w:val="center"/>
          </w:tcPr>
          <w:p>
            <w:pPr>
              <w:jc w:val="center"/>
              <w:rPr>
                <w:rFonts w:ascii="Times New Roman" w:hAnsi="Times New Roman" w:cs="Times New Roman"/>
                <w:color w:val="auto"/>
              </w:rPr>
            </w:pPr>
            <w:r>
              <w:rPr>
                <w:rFonts w:hint="eastAsia" w:ascii="Times New Roman" w:hAnsi="Times New Roman" w:cs="Times New Roman"/>
                <w:color w:val="auto"/>
                <w:szCs w:val="21"/>
                <w:lang w:val="en-US" w:eastAsia="zh-CN"/>
              </w:rPr>
              <w:t>82.4</w:t>
            </w:r>
            <w:r>
              <w:rPr>
                <w:rFonts w:ascii="Times New Roman" w:hAnsi="Times New Roman" w:cs="Times New Roman"/>
                <w:color w:val="auto"/>
                <w:szCs w:val="21"/>
              </w:rPr>
              <w:t>%</w:t>
            </w:r>
          </w:p>
        </w:tc>
      </w:tr>
    </w:tbl>
    <w:p>
      <w:pPr>
        <w:pStyle w:val="5"/>
        <w:rPr>
          <w:rFonts w:ascii="Times New Roman" w:hAnsi="Times New Roman" w:cs="Times New Roman"/>
          <w:sz w:val="24"/>
          <w:szCs w:val="24"/>
        </w:rPr>
      </w:pPr>
      <w:bookmarkStart w:id="220" w:name="_Toc12082"/>
      <w:bookmarkStart w:id="221" w:name="_Toc406660973"/>
      <w:r>
        <w:rPr>
          <w:rFonts w:ascii="Times New Roman" w:hAnsi="Times New Roman" w:cs="Times New Roman"/>
          <w:sz w:val="24"/>
          <w:szCs w:val="24"/>
        </w:rPr>
        <w:t>9.2</w:t>
      </w:r>
      <w:bookmarkEnd w:id="220"/>
      <w:r>
        <w:rPr>
          <w:rFonts w:ascii="Times New Roman" w:hAnsi="Times New Roman" w:eastAsia="宋体" w:cs="Times New Roman"/>
          <w:b/>
          <w:sz w:val="24"/>
        </w:rPr>
        <w:t>污染物排放监测结果</w:t>
      </w:r>
    </w:p>
    <w:p>
      <w:pPr>
        <w:spacing w:line="360" w:lineRule="auto"/>
        <w:rPr>
          <w:rFonts w:hint="eastAsia" w:ascii="Times New Roman" w:hAnsi="Times New Roman" w:eastAsia="宋体" w:cs="Times New Roman"/>
          <w:b/>
          <w:sz w:val="24"/>
          <w:lang w:eastAsia="zh-CN"/>
        </w:rPr>
      </w:pPr>
      <w:r>
        <w:rPr>
          <w:rFonts w:ascii="Times New Roman" w:hAnsi="Times New Roman" w:eastAsia="宋体" w:cs="Times New Roman"/>
          <w:b/>
          <w:sz w:val="24"/>
        </w:rPr>
        <w:t>9.2.1</w:t>
      </w:r>
      <w:r>
        <w:rPr>
          <w:rFonts w:hint="eastAsia" w:ascii="Times New Roman" w:hAnsi="Times New Roman" w:cs="Times New Roman"/>
          <w:b/>
          <w:lang w:eastAsia="zh-CN"/>
        </w:rPr>
        <w:t>废气无组织监测结果及评价</w:t>
      </w:r>
    </w:p>
    <w:p>
      <w:pPr>
        <w:spacing w:line="360" w:lineRule="auto"/>
        <w:ind w:firstLine="480" w:firstLineChars="200"/>
        <w:rPr>
          <w:rFonts w:hint="eastAsia" w:ascii="Times New Roman" w:hAnsi="Times New Roman" w:cs="Times New Roman"/>
          <w:sz w:val="24"/>
          <w:lang w:eastAsia="zh-CN"/>
        </w:rPr>
      </w:pPr>
      <w:r>
        <w:rPr>
          <w:rFonts w:ascii="Times New Roman" w:hAnsi="Times New Roman" w:cs="Times New Roman"/>
          <w:sz w:val="24"/>
          <w:szCs w:val="20"/>
        </w:rPr>
        <w:t>201</w:t>
      </w:r>
      <w:r>
        <w:rPr>
          <w:rFonts w:hint="eastAsia" w:ascii="Times New Roman" w:hAnsi="Times New Roman" w:cs="Times New Roman"/>
          <w:sz w:val="24"/>
          <w:szCs w:val="20"/>
        </w:rPr>
        <w:t>8</w:t>
      </w:r>
      <w:r>
        <w:rPr>
          <w:rFonts w:ascii="Times New Roman" w:hAnsi="Times New Roman" w:cs="Times New Roman"/>
          <w:sz w:val="24"/>
          <w:szCs w:val="20"/>
        </w:rPr>
        <w:t>年</w:t>
      </w:r>
      <w:r>
        <w:rPr>
          <w:rFonts w:hint="eastAsia" w:ascii="Times New Roman" w:hAnsi="Times New Roman" w:cs="Times New Roman"/>
          <w:sz w:val="24"/>
          <w:szCs w:val="20"/>
          <w:lang w:val="en-US" w:eastAsia="zh-CN"/>
        </w:rPr>
        <w:t>11</w:t>
      </w:r>
      <w:r>
        <w:rPr>
          <w:rFonts w:ascii="Times New Roman" w:hAnsi="Times New Roman" w:cs="Times New Roman"/>
          <w:sz w:val="24"/>
          <w:szCs w:val="20"/>
        </w:rPr>
        <w:t>月</w:t>
      </w:r>
      <w:r>
        <w:rPr>
          <w:rFonts w:hint="eastAsia" w:ascii="Times New Roman" w:hAnsi="Times New Roman" w:cs="Times New Roman"/>
          <w:sz w:val="24"/>
          <w:szCs w:val="20"/>
          <w:lang w:val="en-US" w:eastAsia="zh-CN"/>
        </w:rPr>
        <w:t>24</w:t>
      </w:r>
      <w:r>
        <w:rPr>
          <w:rFonts w:hint="eastAsia" w:ascii="Times New Roman" w:hAnsi="Times New Roman" w:cs="Times New Roman"/>
          <w:sz w:val="24"/>
          <w:szCs w:val="20"/>
        </w:rPr>
        <w:t>~</w:t>
      </w:r>
      <w:r>
        <w:rPr>
          <w:rFonts w:hint="eastAsia" w:ascii="Times New Roman" w:hAnsi="Times New Roman" w:cs="Times New Roman"/>
          <w:sz w:val="24"/>
          <w:szCs w:val="20"/>
          <w:lang w:val="en-US" w:eastAsia="zh-CN"/>
        </w:rPr>
        <w:t>25</w:t>
      </w:r>
      <w:r>
        <w:rPr>
          <w:rFonts w:ascii="Times New Roman" w:hAnsi="Times New Roman" w:cs="Times New Roman"/>
          <w:sz w:val="24"/>
          <w:szCs w:val="20"/>
        </w:rPr>
        <w:t>日，</w:t>
      </w:r>
      <w:r>
        <w:rPr>
          <w:rFonts w:hint="eastAsia" w:ascii="Times New Roman" w:hAnsi="Times New Roman" w:cs="Times New Roman"/>
          <w:sz w:val="24"/>
          <w:szCs w:val="20"/>
          <w:lang w:val="en-US" w:eastAsia="zh-CN"/>
        </w:rPr>
        <w:t>西安普惠环境检测技术有限公司</w:t>
      </w:r>
      <w:r>
        <w:rPr>
          <w:rFonts w:ascii="Times New Roman" w:hAnsi="Times New Roman" w:cs="Times New Roman"/>
          <w:sz w:val="24"/>
          <w:szCs w:val="20"/>
        </w:rPr>
        <w:t>对</w:t>
      </w:r>
      <w:r>
        <w:rPr>
          <w:rFonts w:hint="eastAsia" w:ascii="Times New Roman" w:hAnsi="Times New Roman" w:cs="Times New Roman"/>
          <w:sz w:val="24"/>
          <w:szCs w:val="20"/>
        </w:rPr>
        <w:t>本项目</w:t>
      </w:r>
      <w:r>
        <w:rPr>
          <w:rFonts w:hint="eastAsia" w:ascii="Times New Roman" w:hAnsi="Times New Roman" w:cs="Times New Roman"/>
          <w:sz w:val="24"/>
          <w:szCs w:val="20"/>
          <w:lang w:eastAsia="zh-CN"/>
        </w:rPr>
        <w:t>无组织废气</w:t>
      </w:r>
      <w:r>
        <w:rPr>
          <w:rFonts w:ascii="Times New Roman" w:hAnsi="Times New Roman" w:cs="Times New Roman"/>
          <w:sz w:val="24"/>
          <w:szCs w:val="20"/>
        </w:rPr>
        <w:t>进行了</w:t>
      </w:r>
      <w:r>
        <w:rPr>
          <w:rFonts w:hint="eastAsia" w:ascii="Times New Roman" w:hAnsi="Times New Roman" w:cs="Times New Roman"/>
          <w:sz w:val="24"/>
          <w:szCs w:val="20"/>
          <w:lang w:eastAsia="zh-CN"/>
        </w:rPr>
        <w:t>现状</w:t>
      </w:r>
      <w:r>
        <w:rPr>
          <w:rFonts w:ascii="Times New Roman" w:hAnsi="Times New Roman" w:cs="Times New Roman"/>
          <w:sz w:val="24"/>
          <w:szCs w:val="20"/>
        </w:rPr>
        <w:t>监测</w:t>
      </w:r>
      <w:r>
        <w:rPr>
          <w:rFonts w:hint="eastAsia" w:ascii="Times New Roman" w:hAnsi="Times New Roman" w:cs="Times New Roman"/>
          <w:sz w:val="24"/>
          <w:szCs w:val="20"/>
        </w:rPr>
        <w:t>。</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lang w:eastAsia="zh-CN"/>
        </w:rPr>
        <w:t>废气无组织</w:t>
      </w:r>
      <w:r>
        <w:rPr>
          <w:rFonts w:ascii="Times New Roman" w:hAnsi="Times New Roman" w:cs="Times New Roman"/>
          <w:sz w:val="24"/>
        </w:rPr>
        <w:t>监测结果见表9.2-1。</w:t>
      </w:r>
    </w:p>
    <w:p>
      <w:pPr>
        <w:pStyle w:val="35"/>
        <w:rPr>
          <w:rFonts w:ascii="Times New Roman" w:hAnsi="Times New Roman" w:cs="Times New Roman"/>
        </w:rPr>
      </w:pPr>
      <w:r>
        <w:rPr>
          <w:rFonts w:ascii="Times New Roman" w:hAnsi="Times New Roman" w:cs="Times New Roman"/>
        </w:rPr>
        <w:t xml:space="preserve">      </w:t>
      </w:r>
      <w:r>
        <w:rPr>
          <w:rFonts w:hint="eastAsia" w:ascii="Times New Roman" w:hAnsi="Times New Roman" w:cs="Times New Roman"/>
          <w:lang w:val="en-US" w:eastAsia="zh-CN"/>
        </w:rPr>
        <w:t xml:space="preserve">           </w:t>
      </w:r>
      <w:r>
        <w:rPr>
          <w:rFonts w:ascii="Times New Roman" w:hAnsi="Times New Roman" w:cs="Times New Roman"/>
        </w:rPr>
        <w:t xml:space="preserve">表9.2-1    </w:t>
      </w:r>
      <w:r>
        <w:rPr>
          <w:rFonts w:hint="eastAsia" w:ascii="Times New Roman" w:hAnsi="Times New Roman" w:cs="Times New Roman"/>
          <w:lang w:eastAsia="zh-CN"/>
        </w:rPr>
        <w:t>废气无组织</w:t>
      </w:r>
      <w:r>
        <w:rPr>
          <w:rFonts w:ascii="Times New Roman" w:hAnsi="Times New Roman" w:cs="Times New Roman"/>
        </w:rPr>
        <w:t xml:space="preserve">监测结果   </w:t>
      </w:r>
      <w:r>
        <w:rPr>
          <w:rFonts w:hint="eastAsia" w:ascii="Times New Roman" w:hAnsi="Times New Roman" w:cs="Times New Roman"/>
          <w:lang w:val="en-US" w:eastAsia="zh-CN"/>
        </w:rPr>
        <w:t xml:space="preserve">        </w:t>
      </w:r>
      <w:r>
        <w:rPr>
          <w:rFonts w:ascii="Times New Roman" w:hAnsi="Times New Roman" w:cs="Times New Roman"/>
          <w:sz w:val="21"/>
          <w:szCs w:val="21"/>
        </w:rPr>
        <w:t>单位：</w:t>
      </w:r>
      <w:r>
        <w:rPr>
          <w:rFonts w:hint="default" w:ascii="Times New Roman" w:hAnsi="Times New Roman" w:eastAsia="宋体" w:cs="Times New Roman"/>
          <w:b/>
          <w:bCs/>
          <w:color w:val="auto"/>
          <w:kern w:val="0"/>
          <w:sz w:val="21"/>
          <w:szCs w:val="21"/>
          <w:lang w:val="en-US" w:eastAsia="zh-CN"/>
        </w:rPr>
        <w:t>mg/m</w:t>
      </w:r>
      <w:r>
        <w:rPr>
          <w:rFonts w:hint="default" w:ascii="Times New Roman" w:hAnsi="Times New Roman" w:eastAsia="宋体" w:cs="Times New Roman"/>
          <w:b/>
          <w:bCs/>
          <w:color w:val="auto"/>
          <w:kern w:val="0"/>
          <w:sz w:val="21"/>
          <w:szCs w:val="21"/>
          <w:vertAlign w:val="superscript"/>
          <w:lang w:val="en-US" w:eastAsia="zh-CN"/>
        </w:rPr>
        <w:t>3</w:t>
      </w:r>
    </w:p>
    <w:tbl>
      <w:tblPr>
        <w:tblStyle w:val="27"/>
        <w:tblpPr w:leftFromText="180" w:rightFromText="180" w:vertAnchor="text" w:tblpXSpec="center" w:tblpY="1"/>
        <w:tblOverlap w:val="never"/>
        <w:tblW w:w="8528" w:type="dxa"/>
        <w:jc w:val="center"/>
        <w:tblInd w:w="0" w:type="dxa"/>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1971"/>
        <w:gridCol w:w="1166"/>
        <w:gridCol w:w="1616"/>
        <w:gridCol w:w="1749"/>
        <w:gridCol w:w="2026"/>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bookmarkStart w:id="222" w:name="_Toc10587"/>
            <w:r>
              <w:rPr>
                <w:rFonts w:hint="default" w:ascii="Times New Roman" w:hAnsi="Times New Roman" w:cs="Times New Roman"/>
                <w:b/>
                <w:bCs w:val="0"/>
                <w:color w:val="auto"/>
                <w:kern w:val="0"/>
                <w:sz w:val="21"/>
                <w:szCs w:val="21"/>
              </w:rPr>
              <w:t>日  期</w:t>
            </w:r>
          </w:p>
        </w:tc>
        <w:tc>
          <w:tcPr>
            <w:tcW w:w="1166" w:type="dxa"/>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bCs w:val="0"/>
                <w:color w:val="auto"/>
                <w:kern w:val="0"/>
                <w:sz w:val="21"/>
                <w:szCs w:val="21"/>
              </w:rPr>
              <w:t>点位</w:t>
            </w:r>
          </w:p>
        </w:tc>
        <w:tc>
          <w:tcPr>
            <w:tcW w:w="1616" w:type="dxa"/>
            <w:tcBorders>
              <w:tl2br w:val="nil"/>
              <w:tr2bl w:val="nil"/>
            </w:tcBorders>
            <w:vAlign w:val="center"/>
          </w:tcPr>
          <w:p>
            <w:pPr>
              <w:widowControl/>
              <w:jc w:val="center"/>
              <w:rPr>
                <w:color w:val="auto"/>
                <w:sz w:val="21"/>
                <w:szCs w:val="21"/>
              </w:rPr>
            </w:pPr>
            <w:r>
              <w:rPr>
                <w:rFonts w:hint="eastAsia" w:ascii="Times New Roman" w:hAnsi="Times New Roman" w:cs="Times New Roman"/>
                <w:b/>
                <w:bCs/>
                <w:color w:val="auto"/>
                <w:kern w:val="0"/>
                <w:sz w:val="21"/>
                <w:szCs w:val="21"/>
                <w:lang w:val="en-US" w:eastAsia="zh-CN"/>
              </w:rPr>
              <w:t>频次</w:t>
            </w:r>
          </w:p>
        </w:tc>
        <w:tc>
          <w:tcPr>
            <w:tcW w:w="1749" w:type="dxa"/>
            <w:tcBorders>
              <w:tl2br w:val="nil"/>
              <w:tr2bl w:val="nil"/>
            </w:tcBorders>
            <w:vAlign w:val="center"/>
          </w:tcPr>
          <w:p>
            <w:pPr>
              <w:pStyle w:val="5"/>
              <w:spacing w:line="240" w:lineRule="auto"/>
              <w:jc w:val="center"/>
              <w:rPr>
                <w:rFonts w:hint="default" w:ascii="Times New Roman" w:hAnsi="Times New Roman" w:cs="Times New Roman" w:eastAsiaTheme="minorEastAsia"/>
                <w:b/>
                <w:bCs/>
                <w:color w:val="auto"/>
                <w:kern w:val="0"/>
                <w:sz w:val="21"/>
                <w:szCs w:val="21"/>
                <w:lang w:val="en-US" w:eastAsia="zh-CN" w:bidi="ar-SA"/>
              </w:rPr>
            </w:pPr>
            <w:r>
              <w:rPr>
                <w:rFonts w:hint="eastAsia" w:ascii="Times New Roman" w:hAnsi="Times New Roman" w:cs="Times New Roman" w:eastAsiaTheme="minorEastAsia"/>
                <w:b/>
                <w:bCs/>
                <w:color w:val="auto"/>
                <w:kern w:val="0"/>
                <w:sz w:val="21"/>
                <w:szCs w:val="21"/>
                <w:lang w:val="en-US" w:eastAsia="zh-CN" w:bidi="ar-SA"/>
              </w:rPr>
              <w:t>氨</w:t>
            </w:r>
          </w:p>
        </w:tc>
        <w:tc>
          <w:tcPr>
            <w:tcW w:w="2026" w:type="dxa"/>
            <w:tcBorders>
              <w:tl2br w:val="nil"/>
              <w:tr2bl w:val="nil"/>
            </w:tcBorders>
            <w:shd w:val="clear" w:color="auto" w:fill="FFFFFF"/>
            <w:vAlign w:val="center"/>
          </w:tcPr>
          <w:p>
            <w:pPr>
              <w:widowControl/>
              <w:jc w:val="center"/>
              <w:rPr>
                <w:rFonts w:hint="default" w:ascii="Times New Roman" w:hAnsi="Times New Roman" w:cs="Times New Roman" w:eastAsiaTheme="minorEastAsia"/>
                <w:b/>
                <w:bCs/>
                <w:color w:val="auto"/>
                <w:kern w:val="0"/>
                <w:sz w:val="21"/>
                <w:szCs w:val="21"/>
                <w:lang w:val="en-US" w:eastAsia="zh-CN" w:bidi="ar-SA"/>
              </w:rPr>
            </w:pPr>
            <w:r>
              <w:rPr>
                <w:rFonts w:hint="eastAsia" w:ascii="Times New Roman" w:hAnsi="Times New Roman" w:cs="Times New Roman" w:eastAsiaTheme="minorEastAsia"/>
                <w:b/>
                <w:bCs/>
                <w:color w:val="auto"/>
                <w:kern w:val="0"/>
                <w:sz w:val="21"/>
                <w:szCs w:val="21"/>
                <w:lang w:val="en-US" w:eastAsia="zh-CN" w:bidi="ar-SA"/>
              </w:rPr>
              <w:t>硫化氢</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2018年</w:t>
            </w:r>
          </w:p>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11月24日</w:t>
            </w: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cs="Times New Roman"/>
                <w:color w:val="auto"/>
                <w:kern w:val="0"/>
                <w:sz w:val="21"/>
                <w:szCs w:val="21"/>
                <w:lang w:val="en-US" w:eastAsia="zh-CN"/>
              </w:rPr>
              <w:t>1#</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0.06</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ND(0.001)</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0.07</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ND(0.001)</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0.07</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ND(0.001)</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0.06</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ND(0.001)</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2#</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0.002</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0.003</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0.007</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0.15</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0.15</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0.007</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0.15</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4#</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0.12</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0.007</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0.008</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2018年</w:t>
            </w:r>
          </w:p>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11月25日</w:t>
            </w: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cs="Times New Roman"/>
                <w:color w:val="auto"/>
                <w:kern w:val="0"/>
                <w:sz w:val="21"/>
                <w:szCs w:val="21"/>
                <w:lang w:val="en-US" w:eastAsia="zh-CN"/>
              </w:rPr>
              <w:t>1#</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0.06</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0.07</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0.08</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0.007</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0.07</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0.008</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2#</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0.12</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99"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0.4</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0.004</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0.004</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0.007</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0.003</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p>
        </w:tc>
        <w:tc>
          <w:tcPr>
            <w:tcW w:w="1166" w:type="dxa"/>
            <w:vMerge w:val="restart"/>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4#</w:t>
            </w: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第一次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0.13</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0.004</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第二次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0.002</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color w:val="auto"/>
                <w:sz w:val="21"/>
                <w:szCs w:val="21"/>
              </w:rPr>
            </w:pPr>
            <w:r>
              <w:rPr>
                <w:rFonts w:hint="default" w:ascii="Times New Roman" w:hAnsi="Times New Roman" w:cs="Times New Roman"/>
                <w:color w:val="auto"/>
                <w:kern w:val="0"/>
                <w:sz w:val="21"/>
                <w:szCs w:val="21"/>
                <w:lang w:val="en-US" w:eastAsia="zh-CN"/>
              </w:rPr>
              <w:t>第三次</w:t>
            </w:r>
          </w:p>
        </w:tc>
        <w:tc>
          <w:tcPr>
            <w:tcW w:w="1749" w:type="dxa"/>
            <w:tcBorders>
              <w:tl2br w:val="nil"/>
              <w:tr2bl w:val="nil"/>
            </w:tcBorders>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0.14</w:t>
            </w:r>
          </w:p>
        </w:tc>
        <w:tc>
          <w:tcPr>
            <w:tcW w:w="2026" w:type="dxa"/>
            <w:tcBorders>
              <w:tl2br w:val="nil"/>
              <w:tr2bl w:val="nil"/>
            </w:tcBorders>
            <w:vAlign w:val="center"/>
          </w:tcPr>
          <w:p>
            <w:pPr>
              <w:widowControl/>
              <w:jc w:val="center"/>
              <w:textAlignment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0.003</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1971" w:type="dxa"/>
            <w:vMerge w:val="continue"/>
            <w:tcBorders>
              <w:tl2br w:val="nil"/>
              <w:tr2bl w:val="nil"/>
            </w:tcBorders>
            <w:vAlign w:val="center"/>
          </w:tcPr>
          <w:p>
            <w:pPr>
              <w:jc w:val="center"/>
              <w:rPr>
                <w:rFonts w:hint="default" w:ascii="Times New Roman" w:hAnsi="Times New Roman" w:eastAsia="宋体" w:cs="Times New Roman"/>
                <w:b w:val="0"/>
                <w:bCs/>
                <w:color w:val="auto"/>
                <w:kern w:val="0"/>
                <w:sz w:val="21"/>
                <w:szCs w:val="21"/>
                <w:lang w:val="en-US" w:eastAsia="zh-CN"/>
              </w:rPr>
            </w:pPr>
          </w:p>
        </w:tc>
        <w:tc>
          <w:tcPr>
            <w:tcW w:w="1166" w:type="dxa"/>
            <w:vMerge w:val="continue"/>
            <w:tcBorders>
              <w:tl2br w:val="nil"/>
              <w:tr2bl w:val="nil"/>
            </w:tcBorders>
            <w:vAlign w:val="center"/>
          </w:tcPr>
          <w:p>
            <w:pPr>
              <w:widowControl/>
              <w:jc w:val="center"/>
              <w:rPr>
                <w:rFonts w:hint="default" w:ascii="Times New Roman" w:hAnsi="Times New Roman" w:eastAsia="宋体" w:cs="Times New Roman"/>
                <w:b w:val="0"/>
                <w:bCs/>
                <w:color w:val="auto"/>
                <w:kern w:val="0"/>
                <w:sz w:val="21"/>
                <w:szCs w:val="21"/>
                <w:lang w:val="en-US" w:eastAsia="zh-CN"/>
              </w:rPr>
            </w:pPr>
          </w:p>
        </w:tc>
        <w:tc>
          <w:tcPr>
            <w:tcW w:w="1616" w:type="dxa"/>
            <w:tcBorders>
              <w:tl2br w:val="nil"/>
              <w:tr2bl w:val="nil"/>
            </w:tcBorders>
            <w:vAlign w:val="center"/>
          </w:tcPr>
          <w:p>
            <w:pPr>
              <w:widowControl/>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第四次</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0.12</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0.004</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4753" w:type="dxa"/>
            <w:gridSpan w:val="3"/>
            <w:tcBorders>
              <w:tl2br w:val="nil"/>
              <w:tr2bl w:val="nil"/>
            </w:tcBorders>
            <w:vAlign w:val="center"/>
          </w:tcPr>
          <w:p>
            <w:pPr>
              <w:widowControl/>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标准限值</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1.5</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4753" w:type="dxa"/>
            <w:gridSpan w:val="3"/>
            <w:tcBorders>
              <w:tl2br w:val="nil"/>
              <w:tr2bl w:val="nil"/>
            </w:tcBorders>
            <w:vAlign w:val="center"/>
          </w:tcPr>
          <w:p>
            <w:pPr>
              <w:widowControl/>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达标情况</w:t>
            </w:r>
          </w:p>
        </w:tc>
        <w:tc>
          <w:tcPr>
            <w:tcW w:w="174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达标</w:t>
            </w:r>
          </w:p>
        </w:tc>
        <w:tc>
          <w:tcPr>
            <w:tcW w:w="2026" w:type="dxa"/>
            <w:tcBorders>
              <w:tl2br w:val="nil"/>
              <w:tr2bl w:val="nil"/>
            </w:tcBorders>
            <w:vAlign w:val="center"/>
          </w:tcPr>
          <w:p>
            <w:pPr>
              <w:widowControl/>
              <w:jc w:val="center"/>
              <w:textAlignment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达标</w:t>
            </w:r>
          </w:p>
        </w:tc>
      </w:tr>
    </w:tbl>
    <w:p>
      <w:pPr>
        <w:spacing w:line="360" w:lineRule="auto"/>
        <w:rPr>
          <w:rFonts w:ascii="Times New Roman" w:hAnsi="Times New Roman" w:cs="Times New Roman"/>
          <w:sz w:val="24"/>
        </w:rPr>
      </w:pPr>
    </w:p>
    <w:p>
      <w:pPr>
        <w:spacing w:line="360" w:lineRule="auto"/>
        <w:ind w:firstLine="480" w:firstLineChars="200"/>
        <w:rPr>
          <w:rFonts w:ascii="Times New Roman" w:hAnsi="Times New Roman" w:cs="Times New Roman"/>
          <w:sz w:val="24"/>
        </w:rPr>
      </w:pPr>
      <w:r>
        <w:rPr>
          <w:rFonts w:ascii="Times New Roman" w:hAnsi="Times New Roman" w:cs="Times New Roman"/>
          <w:sz w:val="24"/>
        </w:rPr>
        <w:t>上表表明，验收监测期间</w:t>
      </w:r>
      <w:r>
        <w:rPr>
          <w:rFonts w:hint="eastAsia" w:ascii="Times New Roman" w:hAnsi="Times New Roman" w:cs="Times New Roman"/>
          <w:sz w:val="24"/>
          <w:lang w:eastAsia="zh-CN"/>
        </w:rPr>
        <w:t>无组织废气中</w:t>
      </w:r>
      <w:r>
        <w:rPr>
          <w:rFonts w:hint="eastAsia" w:ascii="Times New Roman" w:hAnsi="Times New Roman" w:cs="Times New Roman"/>
          <w:sz w:val="24"/>
          <w:lang w:val="en-US" w:eastAsia="zh-CN"/>
        </w:rPr>
        <w:t>H</w:t>
      </w:r>
      <w:r>
        <w:rPr>
          <w:rFonts w:hint="eastAsia" w:ascii="Times New Roman" w:hAnsi="Times New Roman" w:cs="Times New Roman"/>
          <w:sz w:val="24"/>
          <w:vertAlign w:val="subscript"/>
          <w:lang w:val="en-US" w:eastAsia="zh-CN"/>
        </w:rPr>
        <w:t>2</w:t>
      </w:r>
      <w:r>
        <w:rPr>
          <w:rFonts w:hint="eastAsia" w:ascii="Times New Roman" w:hAnsi="Times New Roman" w:cs="Times New Roman"/>
          <w:sz w:val="24"/>
          <w:lang w:val="en-US" w:eastAsia="zh-CN"/>
        </w:rPr>
        <w:t>S、NH</w:t>
      </w:r>
      <w:r>
        <w:rPr>
          <w:rFonts w:hint="eastAsia" w:ascii="Times New Roman" w:hAnsi="Times New Roman" w:cs="Times New Roman"/>
          <w:sz w:val="24"/>
          <w:vertAlign w:val="subscript"/>
          <w:lang w:val="en-US" w:eastAsia="zh-CN"/>
        </w:rPr>
        <w:t>3</w:t>
      </w:r>
      <w:r>
        <w:rPr>
          <w:rFonts w:ascii="Times New Roman" w:hAnsi="Times New Roman" w:cs="Times New Roman"/>
          <w:sz w:val="24"/>
          <w:szCs w:val="22"/>
        </w:rPr>
        <w:t>符合验收监测执行标准</w:t>
      </w:r>
      <w:r>
        <w:rPr>
          <w:rFonts w:hint="eastAsia" w:ascii="Times New Roman" w:hAnsi="Times New Roman" w:cs="Times New Roman"/>
          <w:sz w:val="24"/>
          <w:szCs w:val="22"/>
          <w:lang w:val="en-US" w:eastAsia="zh-CN"/>
        </w:rPr>
        <w:t>《恶臭污染物排放标准》（GB14554-93）表1厂界标准限值要求</w:t>
      </w:r>
      <w:r>
        <w:rPr>
          <w:rFonts w:ascii="Times New Roman" w:hAnsi="Times New Roman" w:cs="Times New Roman"/>
          <w:sz w:val="24"/>
        </w:rPr>
        <w:t>。</w:t>
      </w:r>
    </w:p>
    <w:p>
      <w:pPr>
        <w:pStyle w:val="44"/>
        <w:spacing w:beforeAutospacing="0" w:afterAutospacing="0" w:line="360" w:lineRule="auto"/>
        <w:outlineLvl w:val="0"/>
        <w:rPr>
          <w:rFonts w:hint="eastAsia" w:ascii="Times New Roman" w:hAnsi="Times New Roman" w:eastAsia="宋体" w:cs="Times New Roman"/>
          <w:b/>
          <w:lang w:eastAsia="zh-CN"/>
        </w:rPr>
      </w:pPr>
      <w:bookmarkStart w:id="223" w:name="_Toc9352"/>
      <w:bookmarkStart w:id="224" w:name="_Toc10817"/>
      <w:r>
        <w:rPr>
          <w:rFonts w:ascii="Times New Roman" w:hAnsi="Times New Roman" w:cs="Times New Roman"/>
          <w:b/>
        </w:rPr>
        <w:t>9.2.</w:t>
      </w:r>
      <w:bookmarkEnd w:id="222"/>
      <w:bookmarkEnd w:id="223"/>
      <w:bookmarkEnd w:id="224"/>
      <w:r>
        <w:rPr>
          <w:rFonts w:hint="eastAsia" w:ascii="Times New Roman" w:hAnsi="Times New Roman" w:cs="Times New Roman"/>
          <w:b/>
          <w:lang w:val="en-US" w:eastAsia="zh-CN"/>
        </w:rPr>
        <w:t>2</w:t>
      </w:r>
      <w:r>
        <w:rPr>
          <w:rFonts w:hint="eastAsia" w:ascii="Times New Roman" w:hAnsi="Times New Roman" w:cs="Times New Roman"/>
          <w:b/>
          <w:lang w:eastAsia="zh-CN"/>
        </w:rPr>
        <w:t>废水监测结果及评价</w:t>
      </w:r>
    </w:p>
    <w:p>
      <w:pPr>
        <w:spacing w:line="360" w:lineRule="auto"/>
        <w:ind w:firstLine="480" w:firstLineChars="200"/>
        <w:rPr>
          <w:rFonts w:hint="eastAsia" w:ascii="Times New Roman" w:hAnsi="Times New Roman" w:cs="Times New Roman"/>
          <w:color w:val="auto"/>
          <w:sz w:val="24"/>
          <w:szCs w:val="20"/>
          <w:lang w:eastAsia="zh-CN"/>
        </w:rPr>
      </w:pPr>
      <w:r>
        <w:rPr>
          <w:rFonts w:hint="eastAsia" w:ascii="Times New Roman" w:hAnsi="Times New Roman" w:cs="Times New Roman"/>
          <w:color w:val="auto"/>
          <w:sz w:val="24"/>
          <w:szCs w:val="20"/>
          <w:lang w:eastAsia="zh-CN"/>
        </w:rPr>
        <w:t>（</w:t>
      </w:r>
      <w:r>
        <w:rPr>
          <w:rFonts w:hint="eastAsia" w:ascii="Times New Roman" w:hAnsi="Times New Roman" w:cs="Times New Roman"/>
          <w:color w:val="auto"/>
          <w:sz w:val="24"/>
          <w:szCs w:val="20"/>
          <w:lang w:val="en-US" w:eastAsia="zh-CN"/>
        </w:rPr>
        <w:t>1</w:t>
      </w:r>
      <w:r>
        <w:rPr>
          <w:rFonts w:hint="eastAsia" w:ascii="Times New Roman" w:hAnsi="Times New Roman" w:cs="Times New Roman"/>
          <w:color w:val="auto"/>
          <w:sz w:val="24"/>
          <w:szCs w:val="20"/>
          <w:lang w:eastAsia="zh-CN"/>
        </w:rPr>
        <w:t>）废水处理站进出口监测结果及评价</w:t>
      </w:r>
    </w:p>
    <w:bookmarkEnd w:id="221"/>
    <w:p>
      <w:pPr>
        <w:spacing w:line="360" w:lineRule="auto"/>
        <w:ind w:firstLine="480" w:firstLineChars="200"/>
        <w:rPr>
          <w:rFonts w:hint="eastAsia" w:ascii="Times New Roman" w:hAnsi="Times New Roman" w:cs="Times New Roman"/>
          <w:sz w:val="24"/>
          <w:szCs w:val="20"/>
        </w:rPr>
      </w:pPr>
      <w:bookmarkStart w:id="225" w:name="_Toc406660979"/>
      <w:r>
        <w:rPr>
          <w:rFonts w:ascii="Times New Roman" w:hAnsi="Times New Roman" w:cs="Times New Roman"/>
          <w:sz w:val="24"/>
          <w:szCs w:val="20"/>
        </w:rPr>
        <w:t>201</w:t>
      </w:r>
      <w:r>
        <w:rPr>
          <w:rFonts w:hint="eastAsia" w:ascii="Times New Roman" w:hAnsi="Times New Roman" w:cs="Times New Roman"/>
          <w:sz w:val="24"/>
          <w:szCs w:val="20"/>
        </w:rPr>
        <w:t>8</w:t>
      </w:r>
      <w:r>
        <w:rPr>
          <w:rFonts w:ascii="Times New Roman" w:hAnsi="Times New Roman" w:cs="Times New Roman"/>
          <w:sz w:val="24"/>
          <w:szCs w:val="20"/>
        </w:rPr>
        <w:t>年</w:t>
      </w:r>
      <w:r>
        <w:rPr>
          <w:rFonts w:hint="eastAsia" w:ascii="Times New Roman" w:hAnsi="Times New Roman" w:cs="Times New Roman"/>
          <w:sz w:val="24"/>
          <w:szCs w:val="20"/>
          <w:lang w:val="en-US" w:eastAsia="zh-CN"/>
        </w:rPr>
        <w:t>11</w:t>
      </w:r>
      <w:r>
        <w:rPr>
          <w:rFonts w:ascii="Times New Roman" w:hAnsi="Times New Roman" w:cs="Times New Roman"/>
          <w:sz w:val="24"/>
          <w:szCs w:val="20"/>
        </w:rPr>
        <w:t>月</w:t>
      </w:r>
      <w:r>
        <w:rPr>
          <w:rFonts w:hint="eastAsia" w:ascii="Times New Roman" w:hAnsi="Times New Roman" w:cs="Times New Roman"/>
          <w:sz w:val="24"/>
          <w:szCs w:val="20"/>
          <w:lang w:val="en-US" w:eastAsia="zh-CN"/>
        </w:rPr>
        <w:t>14</w:t>
      </w:r>
      <w:r>
        <w:rPr>
          <w:rFonts w:hint="eastAsia" w:ascii="Times New Roman" w:hAnsi="Times New Roman" w:cs="Times New Roman"/>
          <w:sz w:val="24"/>
          <w:szCs w:val="20"/>
        </w:rPr>
        <w:t>~</w:t>
      </w:r>
      <w:r>
        <w:rPr>
          <w:rFonts w:hint="eastAsia" w:ascii="Times New Roman" w:hAnsi="Times New Roman" w:cs="Times New Roman"/>
          <w:sz w:val="24"/>
          <w:szCs w:val="20"/>
          <w:lang w:val="en-US" w:eastAsia="zh-CN"/>
        </w:rPr>
        <w:t>15</w:t>
      </w:r>
      <w:r>
        <w:rPr>
          <w:rFonts w:ascii="Times New Roman" w:hAnsi="Times New Roman" w:cs="Times New Roman"/>
          <w:sz w:val="24"/>
          <w:szCs w:val="20"/>
        </w:rPr>
        <w:t>日，</w:t>
      </w:r>
      <w:r>
        <w:rPr>
          <w:rFonts w:hint="eastAsia" w:ascii="Times New Roman" w:hAnsi="Times New Roman" w:cs="Times New Roman"/>
          <w:b w:val="0"/>
          <w:bCs w:val="0"/>
          <w:sz w:val="24"/>
          <w:szCs w:val="24"/>
          <w:lang w:val="en-US" w:eastAsia="zh-CN"/>
        </w:rPr>
        <w:t>陕西阔成环境检测有限公司</w:t>
      </w:r>
      <w:r>
        <w:rPr>
          <w:rFonts w:ascii="Times New Roman" w:hAnsi="Times New Roman" w:cs="Times New Roman"/>
          <w:sz w:val="24"/>
          <w:szCs w:val="20"/>
        </w:rPr>
        <w:t>对</w:t>
      </w:r>
      <w:r>
        <w:rPr>
          <w:rFonts w:hint="eastAsia" w:ascii="Times New Roman" w:hAnsi="Times New Roman" w:cs="Times New Roman"/>
          <w:sz w:val="24"/>
          <w:szCs w:val="20"/>
        </w:rPr>
        <w:t>本项目</w:t>
      </w:r>
      <w:r>
        <w:rPr>
          <w:rFonts w:hint="eastAsia" w:ascii="Times New Roman" w:hAnsi="Times New Roman" w:cs="Times New Roman"/>
          <w:sz w:val="24"/>
          <w:szCs w:val="20"/>
          <w:lang w:eastAsia="zh-CN"/>
        </w:rPr>
        <w:t>废水处理站</w:t>
      </w:r>
      <w:r>
        <w:rPr>
          <w:rFonts w:hint="eastAsia" w:ascii="Times New Roman" w:hAnsi="Times New Roman" w:cs="Times New Roman"/>
          <w:sz w:val="24"/>
          <w:szCs w:val="20"/>
        </w:rPr>
        <w:t>进出口的</w:t>
      </w:r>
      <w:r>
        <w:rPr>
          <w:rFonts w:ascii="Times New Roman" w:hAnsi="Times New Roman" w:cs="Times New Roman"/>
          <w:sz w:val="24"/>
          <w:szCs w:val="20"/>
        </w:rPr>
        <w:t>水质进行了监测</w:t>
      </w:r>
      <w:r>
        <w:rPr>
          <w:rFonts w:hint="eastAsia" w:ascii="Times New Roman" w:hAnsi="Times New Roman" w:cs="Times New Roman"/>
          <w:sz w:val="24"/>
          <w:szCs w:val="20"/>
        </w:rPr>
        <w:t>。监测结果见表</w:t>
      </w:r>
      <w:r>
        <w:rPr>
          <w:rFonts w:hint="eastAsia" w:ascii="Times New Roman" w:hAnsi="Times New Roman" w:cs="Times New Roman"/>
          <w:sz w:val="24"/>
          <w:szCs w:val="20"/>
          <w:lang w:val="en-US" w:eastAsia="zh-CN"/>
        </w:rPr>
        <w:t>9.2-2</w:t>
      </w:r>
      <w:r>
        <w:rPr>
          <w:rFonts w:hint="eastAsia" w:ascii="Times New Roman" w:hAnsi="Times New Roman" w:cs="Times New Roman"/>
          <w:sz w:val="24"/>
          <w:szCs w:val="20"/>
        </w:rPr>
        <w:t>。</w:t>
      </w:r>
    </w:p>
    <w:p>
      <w:pPr>
        <w:pStyle w:val="5"/>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eastAsia="zh-CN"/>
        </w:rPr>
        <w:t>表</w:t>
      </w:r>
      <w:r>
        <w:rPr>
          <w:rFonts w:hint="eastAsia" w:ascii="宋体" w:hAnsi="宋体" w:eastAsia="宋体" w:cs="宋体"/>
          <w:b w:val="0"/>
          <w:bCs w:val="0"/>
          <w:sz w:val="24"/>
          <w:szCs w:val="24"/>
          <w:lang w:val="en-US" w:eastAsia="zh-CN"/>
        </w:rPr>
        <w:t>9.2-2 废水监测结果</w:t>
      </w:r>
    </w:p>
    <w:tbl>
      <w:tblPr>
        <w:tblStyle w:val="27"/>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245"/>
        <w:gridCol w:w="1506"/>
        <w:gridCol w:w="1347"/>
        <w:gridCol w:w="1275"/>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bCs/>
                <w:szCs w:val="21"/>
                <w:highlight w:val="none"/>
              </w:rPr>
            </w:pPr>
            <w:r>
              <w:rPr>
                <w:rFonts w:ascii="Times New Roman" w:hAnsi="Times New Roman" w:cs="Times New Roman"/>
                <w:bCs/>
                <w:szCs w:val="21"/>
                <w:highlight w:val="none"/>
              </w:rPr>
              <w:t>监测日期</w:t>
            </w:r>
          </w:p>
        </w:tc>
        <w:tc>
          <w:tcPr>
            <w:tcW w:w="1245" w:type="dxa"/>
            <w:vMerge w:val="restart"/>
            <w:shd w:val="clear" w:color="auto" w:fill="FFFFFF"/>
            <w:vAlign w:val="center"/>
          </w:tcPr>
          <w:p>
            <w:pPr>
              <w:widowControl/>
              <w:jc w:val="center"/>
              <w:rPr>
                <w:rFonts w:ascii="Times New Roman" w:hAnsi="Times New Roman" w:cs="Times New Roman"/>
                <w:bCs/>
                <w:kern w:val="0"/>
                <w:szCs w:val="21"/>
                <w:highlight w:val="none"/>
              </w:rPr>
            </w:pPr>
            <w:r>
              <w:rPr>
                <w:rFonts w:ascii="Times New Roman" w:hAnsi="Times New Roman" w:cs="Times New Roman"/>
                <w:bCs/>
                <w:kern w:val="0"/>
                <w:szCs w:val="21"/>
                <w:highlight w:val="none"/>
              </w:rPr>
              <w:t>分析项目</w:t>
            </w:r>
          </w:p>
        </w:tc>
        <w:tc>
          <w:tcPr>
            <w:tcW w:w="5391" w:type="dxa"/>
            <w:gridSpan w:val="4"/>
            <w:shd w:val="clear" w:color="auto" w:fill="FFFFFF"/>
            <w:vAlign w:val="center"/>
          </w:tcPr>
          <w:p>
            <w:pPr>
              <w:jc w:val="center"/>
              <w:rPr>
                <w:rFonts w:ascii="Times New Roman" w:hAnsi="Times New Roman" w:cs="Times New Roman"/>
                <w:bCs/>
                <w:kern w:val="0"/>
                <w:szCs w:val="21"/>
                <w:highlight w:val="none"/>
              </w:rPr>
            </w:pPr>
            <w:r>
              <w:rPr>
                <w:rFonts w:hint="default" w:ascii="Times New Roman" w:hAnsi="Times New Roman" w:cs="Times New Roman" w:eastAsiaTheme="minorEastAsia"/>
                <w:b w:val="0"/>
                <w:bCs w:val="0"/>
                <w:color w:val="auto"/>
                <w:sz w:val="21"/>
                <w:szCs w:val="21"/>
                <w:lang w:val="en-US" w:eastAsia="zh-CN"/>
              </w:rPr>
              <w:t>废水处理站进口</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（N34°30′04.21″ E109°26′09.68″）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jc w:val="center"/>
              <w:rPr>
                <w:rFonts w:ascii="Times New Roman" w:hAnsi="Times New Roman" w:cs="Times New Roman"/>
                <w:bCs/>
                <w:szCs w:val="21"/>
                <w:highlight w:val="none"/>
              </w:rPr>
            </w:pPr>
          </w:p>
        </w:tc>
        <w:tc>
          <w:tcPr>
            <w:tcW w:w="1245" w:type="dxa"/>
            <w:vMerge w:val="continue"/>
            <w:shd w:val="clear" w:color="auto" w:fill="FFFFFF"/>
            <w:vAlign w:val="center"/>
          </w:tcPr>
          <w:p>
            <w:pPr>
              <w:jc w:val="center"/>
              <w:rPr>
                <w:rFonts w:ascii="Times New Roman" w:hAnsi="Times New Roman" w:cs="Times New Roman"/>
                <w:bCs/>
                <w:szCs w:val="21"/>
                <w:highlight w:val="none"/>
              </w:rPr>
            </w:pPr>
          </w:p>
        </w:tc>
        <w:tc>
          <w:tcPr>
            <w:tcW w:w="1506"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监测值范围</w:t>
            </w:r>
          </w:p>
        </w:tc>
        <w:tc>
          <w:tcPr>
            <w:tcW w:w="1347"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标准值</w:t>
            </w:r>
          </w:p>
        </w:tc>
        <w:tc>
          <w:tcPr>
            <w:tcW w:w="1275"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达标情况</w:t>
            </w:r>
          </w:p>
        </w:tc>
        <w:tc>
          <w:tcPr>
            <w:tcW w:w="1263"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处理效率%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月14日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（无量纲）</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8.27-8.72</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化学需氧量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342-363</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五日生化需氧量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123-142</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86.9-91.2</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总氮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108-118</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总磷</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1.10-1.21</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悬浮物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21-28</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石油类</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0.84-0.99</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氯离子</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432-473</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总硬度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712-728</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总碱度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258-284</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溶解性总固体</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1090-1220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硫化物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0.074-0.082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w:t>
            </w:r>
            <w:r>
              <w:rPr>
                <w:rFonts w:hint="eastAsia" w:ascii="Times New Roman" w:hAnsi="Times New Roman" w:cs="Times New Roman" w:eastAsiaTheme="minorEastAsia"/>
                <w:b w:val="0"/>
                <w:bCs w:val="0"/>
                <w:color w:val="auto"/>
                <w:sz w:val="21"/>
                <w:szCs w:val="21"/>
                <w:lang w:val="en-US" w:eastAsia="zh-CN"/>
              </w:rPr>
              <w:t>5</w:t>
            </w:r>
            <w:r>
              <w:rPr>
                <w:rFonts w:hint="default" w:ascii="Times New Roman" w:hAnsi="Times New Roman" w:cs="Times New Roman" w:eastAsiaTheme="minorEastAsia"/>
                <w:b w:val="0"/>
                <w:bCs w:val="0"/>
                <w:color w:val="auto"/>
                <w:sz w:val="21"/>
                <w:szCs w:val="21"/>
                <w:lang w:val="en-US" w:eastAsia="zh-CN"/>
              </w:rPr>
              <w:t>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（无量纲）</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8.18-8.33</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化学需氧量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336-353</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五日生化需氧量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125-135</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88.2-92.4</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总氮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102-113</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总磷</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1.12-1.22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悬浮物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25-30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石油类</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0.91-0.97</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氯离子</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396-488</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总硬度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682-812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总碱度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249-272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溶解性总固体</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1030-1170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硫化物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0.080-0.088</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bCs/>
                <w:szCs w:val="21"/>
                <w:highlight w:val="none"/>
              </w:rPr>
            </w:pPr>
            <w:r>
              <w:rPr>
                <w:rFonts w:ascii="Times New Roman" w:hAnsi="Times New Roman" w:cs="Times New Roman"/>
                <w:bCs/>
                <w:szCs w:val="21"/>
                <w:highlight w:val="none"/>
              </w:rPr>
              <w:t>监测日期</w:t>
            </w:r>
          </w:p>
        </w:tc>
        <w:tc>
          <w:tcPr>
            <w:tcW w:w="1245" w:type="dxa"/>
            <w:vMerge w:val="restart"/>
            <w:shd w:val="clear" w:color="auto" w:fill="FFFFFF"/>
            <w:vAlign w:val="center"/>
          </w:tcPr>
          <w:p>
            <w:pPr>
              <w:widowControl/>
              <w:jc w:val="center"/>
              <w:rPr>
                <w:rFonts w:ascii="Times New Roman" w:hAnsi="Times New Roman" w:cs="Times New Roman"/>
                <w:bCs/>
                <w:szCs w:val="21"/>
                <w:highlight w:val="none"/>
              </w:rPr>
            </w:pPr>
            <w:r>
              <w:rPr>
                <w:rFonts w:ascii="Times New Roman" w:hAnsi="Times New Roman" w:cs="Times New Roman"/>
                <w:bCs/>
                <w:kern w:val="0"/>
                <w:szCs w:val="21"/>
                <w:highlight w:val="none"/>
              </w:rPr>
              <w:t>分析项目</w:t>
            </w:r>
          </w:p>
        </w:tc>
        <w:tc>
          <w:tcPr>
            <w:tcW w:w="5391" w:type="dxa"/>
            <w:gridSpan w:val="4"/>
            <w:shd w:val="clear" w:color="auto" w:fill="FFFFFF"/>
            <w:vAlign w:val="center"/>
          </w:tcPr>
          <w:p>
            <w:pPr>
              <w:jc w:val="center"/>
              <w:rPr>
                <w:rFonts w:ascii="Times New Roman" w:hAnsi="Times New Roman" w:cs="Times New Roman"/>
                <w:bCs/>
                <w:kern w:val="0"/>
                <w:szCs w:val="21"/>
                <w:highlight w:val="none"/>
                <w:shd w:val="clear" w:color="FFFFFF" w:fill="D9D9D9"/>
              </w:rPr>
            </w:pPr>
            <w:r>
              <w:rPr>
                <w:rFonts w:hint="default" w:ascii="Times New Roman" w:hAnsi="Times New Roman" w:cs="Times New Roman" w:eastAsiaTheme="minorEastAsia"/>
                <w:b w:val="0"/>
                <w:bCs w:val="0"/>
                <w:color w:val="auto"/>
                <w:sz w:val="21"/>
                <w:szCs w:val="21"/>
                <w:lang w:val="en-US" w:eastAsia="zh-CN"/>
              </w:rPr>
              <w:t>废水处理站出口</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（N34°30′02.83″ E109°26′08.34″）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textAlignment w:val="center"/>
              <w:rPr>
                <w:rFonts w:ascii="Times New Roman" w:hAnsi="Times New Roman" w:cs="Times New Roman"/>
                <w:bCs/>
                <w:szCs w:val="21"/>
                <w:highlight w:val="none"/>
              </w:rPr>
            </w:pPr>
          </w:p>
        </w:tc>
        <w:tc>
          <w:tcPr>
            <w:tcW w:w="1245" w:type="dxa"/>
            <w:vMerge w:val="continue"/>
            <w:shd w:val="clear" w:color="auto" w:fill="FFFFFF"/>
            <w:vAlign w:val="center"/>
          </w:tcPr>
          <w:p>
            <w:pPr>
              <w:widowControl/>
              <w:jc w:val="center"/>
              <w:textAlignment w:val="center"/>
              <w:rPr>
                <w:rFonts w:ascii="Times New Roman" w:hAnsi="Times New Roman" w:cs="Times New Roman"/>
                <w:bCs/>
                <w:szCs w:val="21"/>
                <w:highlight w:val="none"/>
              </w:rPr>
            </w:pPr>
          </w:p>
        </w:tc>
        <w:tc>
          <w:tcPr>
            <w:tcW w:w="1506"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监测值范围</w:t>
            </w:r>
          </w:p>
        </w:tc>
        <w:tc>
          <w:tcPr>
            <w:tcW w:w="1347"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标准值</w:t>
            </w:r>
          </w:p>
        </w:tc>
        <w:tc>
          <w:tcPr>
            <w:tcW w:w="1275"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达标情况</w:t>
            </w:r>
          </w:p>
        </w:tc>
        <w:tc>
          <w:tcPr>
            <w:tcW w:w="1263"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处理效率%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月14日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（无量纲）</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8.15-8.46</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6-9</w:t>
            </w:r>
          </w:p>
        </w:tc>
        <w:tc>
          <w:tcPr>
            <w:tcW w:w="1275"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化学需氧量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24-33</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300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bCs/>
                <w:szCs w:val="21"/>
                <w:highlight w:val="none"/>
                <w:lang w:val="en-US" w:eastAsia="zh-CN"/>
              </w:rPr>
            </w:pPr>
            <w:r>
              <w:rPr>
                <w:rFonts w:hint="eastAsia" w:ascii="Times New Roman" w:hAnsi="Times New Roman" w:cs="Times New Roman"/>
                <w:bCs/>
                <w:szCs w:val="21"/>
                <w:highlight w:val="none"/>
                <w:lang w:val="en-US" w:eastAsia="zh-CN"/>
              </w:rPr>
              <w:t>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五日生化需氧量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9.0-12.0</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150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0.265-0.302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25</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bCs/>
                <w:szCs w:val="21"/>
                <w:highlight w:val="none"/>
                <w:lang w:val="en-US" w:eastAsia="zh-CN"/>
              </w:rPr>
            </w:pPr>
            <w:r>
              <w:rPr>
                <w:rFonts w:hint="eastAsia" w:ascii="Times New Roman" w:hAnsi="Times New Roman" w:cs="Times New Roman"/>
                <w:bCs/>
                <w:szCs w:val="21"/>
                <w:highlight w:val="none"/>
                <w:lang w:val="en-US" w:eastAsia="zh-CN"/>
              </w:rPr>
              <w:t>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总氮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2.00-2.28</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总磷</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0.115-0.162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w:t>
            </w:r>
          </w:p>
        </w:tc>
        <w:tc>
          <w:tcPr>
            <w:tcW w:w="1275"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悬浮物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7-9</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400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石油类</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0.45-0.52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15</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氯离子</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164-240</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总硬度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311-329</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总碱度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101-124</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溶解性总固体</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517-556</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20000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硫化物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0.015-0.019</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w:t>
            </w:r>
            <w:r>
              <w:rPr>
                <w:rFonts w:hint="eastAsia" w:ascii="Times New Roman" w:hAnsi="Times New Roman" w:cs="Times New Roman" w:eastAsiaTheme="minorEastAsia"/>
                <w:b w:val="0"/>
                <w:bCs w:val="0"/>
                <w:color w:val="auto"/>
                <w:sz w:val="21"/>
                <w:szCs w:val="21"/>
                <w:lang w:val="en-US" w:eastAsia="zh-CN"/>
              </w:rPr>
              <w:t>5</w:t>
            </w:r>
            <w:r>
              <w:rPr>
                <w:rFonts w:hint="default" w:ascii="Times New Roman" w:hAnsi="Times New Roman" w:cs="Times New Roman" w:eastAsiaTheme="minorEastAsia"/>
                <w:b w:val="0"/>
                <w:bCs w:val="0"/>
                <w:color w:val="auto"/>
                <w:sz w:val="21"/>
                <w:szCs w:val="21"/>
                <w:lang w:val="en-US" w:eastAsia="zh-CN"/>
              </w:rPr>
              <w:t>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（无量纲）</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7.83-8.35</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6-9</w:t>
            </w:r>
          </w:p>
        </w:tc>
        <w:tc>
          <w:tcPr>
            <w:tcW w:w="1275" w:type="dxa"/>
            <w:shd w:val="clear" w:color="auto" w:fill="FFFFFF"/>
            <w:vAlign w:val="center"/>
          </w:tcPr>
          <w:p>
            <w:pPr>
              <w:widowControl/>
              <w:jc w:val="center"/>
              <w:textAlignment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化学需氧量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24-30</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300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五日生化需氧量</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9.1-11.0</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150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0.270-0.292</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25</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总氮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2.06-2.26</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70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b w:val="0"/>
                <w:bCs w:val="0"/>
                <w:sz w:val="21"/>
                <w:szCs w:val="21"/>
                <w:lang w:val="en-US" w:eastAsia="zh-CN"/>
              </w:rPr>
              <w:t>总磷</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0.108-0.121</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8</w:t>
            </w:r>
          </w:p>
        </w:tc>
        <w:tc>
          <w:tcPr>
            <w:tcW w:w="1275" w:type="dxa"/>
            <w:shd w:val="clear" w:color="auto" w:fill="FFFFFF"/>
            <w:vAlign w:val="center"/>
          </w:tcPr>
          <w:p>
            <w:pPr>
              <w:widowControl/>
              <w:jc w:val="center"/>
              <w:textAlignment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91.1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悬浮物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8-9</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400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石油类</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0.41-0.47</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15</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氯离子</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174-196</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800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总硬度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351-404</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总碱度</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105-138</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溶解性总固体</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523-612</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20000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tcBorders/>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default" w:ascii="Times New Roman" w:hAnsi="Times New Roman" w:cs="Times New Roman" w:eastAsiaTheme="minorEastAsia"/>
                <w:b w:val="0"/>
                <w:bCs w:val="0"/>
                <w:sz w:val="21"/>
                <w:szCs w:val="21"/>
                <w:lang w:val="en-US" w:eastAsia="zh-CN"/>
              </w:rPr>
              <w:t>硫化物</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0.012-0.017</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83.0</w:t>
            </w:r>
          </w:p>
        </w:tc>
      </w:tr>
    </w:tbl>
    <w:p>
      <w:pPr>
        <w:rPr>
          <w:rFonts w:hint="eastAsia" w:ascii="宋体" w:hAnsi="宋体" w:eastAsia="宋体" w:cs="宋体"/>
          <w:b w:val="0"/>
          <w:bCs w:val="0"/>
          <w:sz w:val="24"/>
          <w:szCs w:val="24"/>
          <w:lang w:val="en-US" w:eastAsia="zh-CN"/>
        </w:rPr>
      </w:pPr>
    </w:p>
    <w:p>
      <w:pPr>
        <w:spacing w:line="360" w:lineRule="auto"/>
        <w:ind w:firstLine="480" w:firstLineChars="200"/>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由表9.2-2可知，验收监测期间，废水处理站出口水质监测结果均满足</w:t>
      </w:r>
      <w:r>
        <w:rPr>
          <w:rFonts w:hint="eastAsia" w:ascii="Times New Roman" w:hAnsi="Times New Roman" w:cs="Times New Roman"/>
          <w:sz w:val="24"/>
          <w:lang w:val="en-US" w:eastAsia="zh-CN"/>
        </w:rPr>
        <w:t>《黄河流域（陕西段）污水综合排放标准》（DB61/224-2011）二级标准、《污水综合排放标准》（GB8978-1996）中三级标准及《污水排入城镇下水道水质标准》（GB/T31962-2015）中的B等级标准</w:t>
      </w:r>
      <w:r>
        <w:rPr>
          <w:rFonts w:hint="eastAsia" w:ascii="Times New Roman" w:hAnsi="Times New Roman" w:cs="Times New Roman"/>
          <w:b w:val="0"/>
          <w:bCs w:val="0"/>
          <w:sz w:val="24"/>
          <w:szCs w:val="24"/>
          <w:lang w:val="en-US" w:eastAsia="zh-CN"/>
        </w:rPr>
        <w:t>。</w:t>
      </w:r>
    </w:p>
    <w:p>
      <w:pPr>
        <w:spacing w:line="360" w:lineRule="auto"/>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 xml:space="preserve">   （2）中水进出口监测结果及评价</w:t>
      </w:r>
    </w:p>
    <w:p>
      <w:pPr>
        <w:spacing w:line="360" w:lineRule="auto"/>
        <w:ind w:firstLine="480" w:firstLineChars="200"/>
        <w:rPr>
          <w:rFonts w:hint="eastAsia" w:ascii="Times New Roman" w:hAnsi="Times New Roman" w:cs="Times New Roman"/>
          <w:sz w:val="24"/>
          <w:szCs w:val="20"/>
        </w:rPr>
      </w:pPr>
      <w:r>
        <w:rPr>
          <w:rFonts w:ascii="Times New Roman" w:hAnsi="Times New Roman" w:cs="Times New Roman"/>
          <w:sz w:val="24"/>
          <w:szCs w:val="20"/>
        </w:rPr>
        <w:t>201</w:t>
      </w:r>
      <w:r>
        <w:rPr>
          <w:rFonts w:hint="eastAsia" w:ascii="Times New Roman" w:hAnsi="Times New Roman" w:cs="Times New Roman"/>
          <w:sz w:val="24"/>
          <w:szCs w:val="20"/>
        </w:rPr>
        <w:t>8</w:t>
      </w:r>
      <w:r>
        <w:rPr>
          <w:rFonts w:ascii="Times New Roman" w:hAnsi="Times New Roman" w:cs="Times New Roman"/>
          <w:sz w:val="24"/>
          <w:szCs w:val="20"/>
        </w:rPr>
        <w:t>年</w:t>
      </w:r>
      <w:r>
        <w:rPr>
          <w:rFonts w:hint="eastAsia" w:ascii="Times New Roman" w:hAnsi="Times New Roman" w:cs="Times New Roman"/>
          <w:sz w:val="24"/>
          <w:szCs w:val="20"/>
          <w:lang w:val="en-US" w:eastAsia="zh-CN"/>
        </w:rPr>
        <w:t>11</w:t>
      </w:r>
      <w:r>
        <w:rPr>
          <w:rFonts w:ascii="Times New Roman" w:hAnsi="Times New Roman" w:cs="Times New Roman"/>
          <w:sz w:val="24"/>
          <w:szCs w:val="20"/>
        </w:rPr>
        <w:t>月</w:t>
      </w:r>
      <w:r>
        <w:rPr>
          <w:rFonts w:hint="eastAsia" w:ascii="Times New Roman" w:hAnsi="Times New Roman" w:cs="Times New Roman"/>
          <w:sz w:val="24"/>
          <w:szCs w:val="20"/>
          <w:lang w:val="en-US" w:eastAsia="zh-CN"/>
        </w:rPr>
        <w:t>14</w:t>
      </w:r>
      <w:r>
        <w:rPr>
          <w:rFonts w:hint="eastAsia" w:ascii="Times New Roman" w:hAnsi="Times New Roman" w:cs="Times New Roman"/>
          <w:sz w:val="24"/>
          <w:szCs w:val="20"/>
        </w:rPr>
        <w:t>~</w:t>
      </w:r>
      <w:r>
        <w:rPr>
          <w:rFonts w:hint="eastAsia" w:ascii="Times New Roman" w:hAnsi="Times New Roman" w:cs="Times New Roman"/>
          <w:sz w:val="24"/>
          <w:szCs w:val="20"/>
          <w:lang w:val="en-US" w:eastAsia="zh-CN"/>
        </w:rPr>
        <w:t>15</w:t>
      </w:r>
      <w:r>
        <w:rPr>
          <w:rFonts w:ascii="Times New Roman" w:hAnsi="Times New Roman" w:cs="Times New Roman"/>
          <w:sz w:val="24"/>
          <w:szCs w:val="20"/>
        </w:rPr>
        <w:t>日，</w:t>
      </w:r>
      <w:r>
        <w:rPr>
          <w:rFonts w:hint="eastAsia" w:ascii="Times New Roman" w:hAnsi="Times New Roman" w:cs="Times New Roman"/>
          <w:b w:val="0"/>
          <w:bCs w:val="0"/>
          <w:sz w:val="24"/>
          <w:szCs w:val="24"/>
          <w:lang w:val="en-US" w:eastAsia="zh-CN"/>
        </w:rPr>
        <w:t>陕西阔成环境检测有限公司</w:t>
      </w:r>
      <w:r>
        <w:rPr>
          <w:rFonts w:ascii="Times New Roman" w:hAnsi="Times New Roman" w:cs="Times New Roman"/>
          <w:sz w:val="24"/>
          <w:szCs w:val="20"/>
        </w:rPr>
        <w:t>对</w:t>
      </w:r>
      <w:r>
        <w:rPr>
          <w:rFonts w:hint="eastAsia" w:ascii="Times New Roman" w:hAnsi="Times New Roman" w:cs="Times New Roman"/>
          <w:sz w:val="24"/>
          <w:szCs w:val="20"/>
        </w:rPr>
        <w:t>本项目</w:t>
      </w:r>
      <w:r>
        <w:rPr>
          <w:rFonts w:hint="eastAsia" w:ascii="Times New Roman" w:hAnsi="Times New Roman" w:cs="Times New Roman"/>
          <w:sz w:val="24"/>
          <w:szCs w:val="20"/>
          <w:lang w:eastAsia="zh-CN"/>
        </w:rPr>
        <w:t>中水站</w:t>
      </w:r>
      <w:r>
        <w:rPr>
          <w:rFonts w:hint="eastAsia" w:ascii="Times New Roman" w:hAnsi="Times New Roman" w:cs="Times New Roman"/>
          <w:sz w:val="24"/>
          <w:szCs w:val="20"/>
        </w:rPr>
        <w:t>进出口的</w:t>
      </w:r>
      <w:r>
        <w:rPr>
          <w:rFonts w:ascii="Times New Roman" w:hAnsi="Times New Roman" w:cs="Times New Roman"/>
          <w:sz w:val="24"/>
          <w:szCs w:val="20"/>
        </w:rPr>
        <w:t>水质进行了监测</w:t>
      </w:r>
      <w:r>
        <w:rPr>
          <w:rFonts w:hint="eastAsia" w:ascii="Times New Roman" w:hAnsi="Times New Roman" w:cs="Times New Roman"/>
          <w:sz w:val="24"/>
          <w:szCs w:val="20"/>
        </w:rPr>
        <w:t>。监测结果见表</w:t>
      </w:r>
      <w:r>
        <w:rPr>
          <w:rFonts w:hint="eastAsia" w:ascii="Times New Roman" w:hAnsi="Times New Roman" w:cs="Times New Roman"/>
          <w:sz w:val="24"/>
          <w:szCs w:val="20"/>
          <w:lang w:val="en-US" w:eastAsia="zh-CN"/>
        </w:rPr>
        <w:t>9.2-3</w:t>
      </w:r>
      <w:r>
        <w:rPr>
          <w:rFonts w:hint="eastAsia" w:ascii="Times New Roman" w:hAnsi="Times New Roman" w:cs="Times New Roman"/>
          <w:sz w:val="24"/>
          <w:szCs w:val="20"/>
        </w:rPr>
        <w:t>。</w:t>
      </w:r>
    </w:p>
    <w:p>
      <w:pPr>
        <w:pStyle w:val="5"/>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eastAsia="zh-CN"/>
        </w:rPr>
        <w:t>表</w:t>
      </w:r>
      <w:r>
        <w:rPr>
          <w:rFonts w:hint="eastAsia" w:ascii="宋体" w:hAnsi="宋体" w:eastAsia="宋体" w:cs="宋体"/>
          <w:b w:val="0"/>
          <w:bCs w:val="0"/>
          <w:sz w:val="24"/>
          <w:szCs w:val="24"/>
          <w:lang w:val="en-US" w:eastAsia="zh-CN"/>
        </w:rPr>
        <w:t>9.2-3    中水监测结果</w:t>
      </w:r>
    </w:p>
    <w:tbl>
      <w:tblPr>
        <w:tblStyle w:val="27"/>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245"/>
        <w:gridCol w:w="1506"/>
        <w:gridCol w:w="1347"/>
        <w:gridCol w:w="1275"/>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bCs/>
                <w:szCs w:val="21"/>
                <w:highlight w:val="none"/>
              </w:rPr>
            </w:pPr>
            <w:r>
              <w:rPr>
                <w:rFonts w:ascii="Times New Roman" w:hAnsi="Times New Roman" w:cs="Times New Roman"/>
                <w:bCs/>
                <w:szCs w:val="21"/>
                <w:highlight w:val="none"/>
              </w:rPr>
              <w:t>监测日期</w:t>
            </w:r>
          </w:p>
        </w:tc>
        <w:tc>
          <w:tcPr>
            <w:tcW w:w="1245" w:type="dxa"/>
            <w:vMerge w:val="restart"/>
            <w:shd w:val="clear" w:color="auto" w:fill="FFFFFF"/>
            <w:vAlign w:val="center"/>
          </w:tcPr>
          <w:p>
            <w:pPr>
              <w:widowControl/>
              <w:jc w:val="center"/>
              <w:rPr>
                <w:rFonts w:ascii="Times New Roman" w:hAnsi="Times New Roman" w:cs="Times New Roman"/>
                <w:bCs/>
                <w:kern w:val="0"/>
                <w:szCs w:val="21"/>
                <w:highlight w:val="none"/>
              </w:rPr>
            </w:pPr>
            <w:r>
              <w:rPr>
                <w:rFonts w:ascii="Times New Roman" w:hAnsi="Times New Roman" w:cs="Times New Roman"/>
                <w:bCs/>
                <w:kern w:val="0"/>
                <w:szCs w:val="21"/>
                <w:highlight w:val="none"/>
              </w:rPr>
              <w:t>分析项目</w:t>
            </w:r>
          </w:p>
        </w:tc>
        <w:tc>
          <w:tcPr>
            <w:tcW w:w="5391" w:type="dxa"/>
            <w:gridSpan w:val="4"/>
            <w:shd w:val="clear" w:color="auto" w:fill="FFFFFF"/>
            <w:vAlign w:val="center"/>
          </w:tcPr>
          <w:p>
            <w:pPr>
              <w:snapToGrid w:val="0"/>
              <w:spacing w:line="240" w:lineRule="auto"/>
              <w:jc w:val="center"/>
              <w:rPr>
                <w:rFonts w:hint="eastAsia" w:ascii="Times New Roman" w:hAnsi="Times New Roman" w:cs="Times New Roman" w:eastAsiaTheme="minorEastAsia"/>
                <w:b w:val="0"/>
                <w:bCs w:val="0"/>
                <w:color w:val="auto"/>
                <w:sz w:val="21"/>
                <w:szCs w:val="21"/>
                <w:lang w:val="en-US" w:eastAsia="zh-CN"/>
              </w:rPr>
            </w:pPr>
            <w:r>
              <w:rPr>
                <w:rFonts w:hint="eastAsia" w:ascii="Times New Roman" w:hAnsi="Times New Roman" w:cs="Times New Roman" w:eastAsiaTheme="minorEastAsia"/>
                <w:b w:val="0"/>
                <w:bCs w:val="0"/>
                <w:color w:val="auto"/>
                <w:sz w:val="21"/>
                <w:szCs w:val="21"/>
                <w:lang w:val="en-US" w:eastAsia="zh-CN"/>
              </w:rPr>
              <w:t>中水处理系统进口</w:t>
            </w:r>
          </w:p>
          <w:p>
            <w:pPr>
              <w:jc w:val="center"/>
              <w:rPr>
                <w:rFonts w:ascii="Times New Roman" w:hAnsi="Times New Roman" w:cs="Times New Roman"/>
                <w:bCs/>
                <w:kern w:val="0"/>
                <w:szCs w:val="21"/>
                <w:highlight w:val="none"/>
              </w:rPr>
            </w:pP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（N34°30′04.</w:t>
            </w:r>
            <w:r>
              <w:rPr>
                <w:rFonts w:hint="eastAsia" w:ascii="Times New Roman" w:hAnsi="Times New Roman" w:cs="Times New Roman" w:eastAsiaTheme="minorEastAsia"/>
                <w:b w:val="0"/>
                <w:bCs w:val="0"/>
                <w:i w:val="0"/>
                <w:color w:val="000000" w:themeColor="text1"/>
                <w:kern w:val="0"/>
                <w:sz w:val="21"/>
                <w:szCs w:val="21"/>
                <w:u w:val="none"/>
                <w:lang w:val="en-US" w:eastAsia="zh-CN" w:bidi="ar"/>
              </w:rPr>
              <w:t>72</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 E109°26′</w:t>
            </w:r>
            <w:r>
              <w:rPr>
                <w:rFonts w:hint="eastAsia" w:ascii="Times New Roman" w:hAnsi="Times New Roman" w:cs="Times New Roman" w:eastAsiaTheme="minorEastAsia"/>
                <w:b w:val="0"/>
                <w:bCs w:val="0"/>
                <w:i w:val="0"/>
                <w:color w:val="000000" w:themeColor="text1"/>
                <w:kern w:val="0"/>
                <w:sz w:val="21"/>
                <w:szCs w:val="21"/>
                <w:u w:val="none"/>
                <w:lang w:val="en-US" w:eastAsia="zh-CN" w:bidi="ar"/>
              </w:rPr>
              <w:t>00.51</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jc w:val="center"/>
              <w:rPr>
                <w:rFonts w:ascii="Times New Roman" w:hAnsi="Times New Roman" w:cs="Times New Roman"/>
                <w:bCs/>
                <w:szCs w:val="21"/>
                <w:highlight w:val="none"/>
              </w:rPr>
            </w:pPr>
          </w:p>
        </w:tc>
        <w:tc>
          <w:tcPr>
            <w:tcW w:w="1245" w:type="dxa"/>
            <w:vMerge w:val="continue"/>
            <w:shd w:val="clear" w:color="auto" w:fill="FFFFFF"/>
            <w:vAlign w:val="center"/>
          </w:tcPr>
          <w:p>
            <w:pPr>
              <w:jc w:val="center"/>
              <w:rPr>
                <w:rFonts w:ascii="Times New Roman" w:hAnsi="Times New Roman" w:cs="Times New Roman"/>
                <w:bCs/>
                <w:szCs w:val="21"/>
                <w:highlight w:val="none"/>
              </w:rPr>
            </w:pPr>
          </w:p>
        </w:tc>
        <w:tc>
          <w:tcPr>
            <w:tcW w:w="1506"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监测值范围</w:t>
            </w:r>
          </w:p>
        </w:tc>
        <w:tc>
          <w:tcPr>
            <w:tcW w:w="1347"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标准值</w:t>
            </w:r>
          </w:p>
        </w:tc>
        <w:tc>
          <w:tcPr>
            <w:tcW w:w="1275"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达标情况</w:t>
            </w:r>
          </w:p>
        </w:tc>
        <w:tc>
          <w:tcPr>
            <w:tcW w:w="1263"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处理效率%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月14日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eastAsia" w:ascii="Times New Roman" w:hAnsi="Times New Roman" w:cs="Times New Roman" w:eastAsiaTheme="minorEastAsia"/>
                <w:color w:val="auto"/>
                <w:sz w:val="21"/>
                <w:szCs w:val="21"/>
                <w:lang w:val="en-US" w:eastAsia="zh-CN"/>
              </w:rPr>
              <w:t>（无量纲）</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7.83-7.19</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化学需氧量（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49-61</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五日生化需氧量（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20.8-23.6</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1.01-1.14</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总氮（</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2.34-2.68</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总磷（</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0.468-0.497</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悬浮物（</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22-27</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石油类（</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0.84-0.91</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氯离子（</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428-534</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总硬度（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426-503</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总碱度（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420-487</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浊度（NTU）</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100-120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总铁（</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0.854-0.892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w:t>
            </w:r>
            <w:r>
              <w:rPr>
                <w:rFonts w:hint="eastAsia" w:ascii="Times New Roman" w:hAnsi="Times New Roman" w:cs="Times New Roman" w:eastAsiaTheme="minorEastAsia"/>
                <w:b w:val="0"/>
                <w:bCs w:val="0"/>
                <w:color w:val="auto"/>
                <w:sz w:val="21"/>
                <w:szCs w:val="21"/>
                <w:lang w:val="en-US" w:eastAsia="zh-CN"/>
              </w:rPr>
              <w:t>5</w:t>
            </w:r>
            <w:r>
              <w:rPr>
                <w:rFonts w:hint="default" w:ascii="Times New Roman" w:hAnsi="Times New Roman" w:cs="Times New Roman" w:eastAsiaTheme="minorEastAsia"/>
                <w:b w:val="0"/>
                <w:bCs w:val="0"/>
                <w:color w:val="auto"/>
                <w:sz w:val="21"/>
                <w:szCs w:val="21"/>
                <w:lang w:val="en-US" w:eastAsia="zh-CN"/>
              </w:rPr>
              <w:t>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eastAsia" w:ascii="Times New Roman" w:hAnsi="Times New Roman" w:cs="Times New Roman" w:eastAsiaTheme="minorEastAsia"/>
                <w:color w:val="auto"/>
                <w:sz w:val="21"/>
                <w:szCs w:val="21"/>
                <w:lang w:val="en-US" w:eastAsia="zh-CN"/>
              </w:rPr>
              <w:t>（无量纲）</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7.83-8.17</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化学需氧量（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10-14</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五日生化需氧量（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20.1-22.4</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0.984-1.15</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总氮（</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2.44-2.73</w:t>
            </w:r>
          </w:p>
        </w:tc>
        <w:tc>
          <w:tcPr>
            <w:tcW w:w="1347"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总磷（</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0.441-0.512</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悬浮物（</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21-26</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石油类（</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0.81-0.98</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氯离子（</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435-503</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总硬度（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570-604</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总碱度（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457-477</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浊度（NTU）</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80-100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总铁（</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0.884-0.890</w:t>
            </w:r>
          </w:p>
        </w:tc>
        <w:tc>
          <w:tcPr>
            <w:tcW w:w="1347"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c>
          <w:tcPr>
            <w:tcW w:w="1263"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bCs/>
                <w:szCs w:val="21"/>
                <w:highlight w:val="none"/>
              </w:rPr>
            </w:pPr>
            <w:r>
              <w:rPr>
                <w:rFonts w:ascii="Times New Roman" w:hAnsi="Times New Roman" w:cs="Times New Roman"/>
                <w:bCs/>
                <w:szCs w:val="21"/>
                <w:highlight w:val="none"/>
              </w:rPr>
              <w:t>监测日期</w:t>
            </w:r>
          </w:p>
        </w:tc>
        <w:tc>
          <w:tcPr>
            <w:tcW w:w="1245" w:type="dxa"/>
            <w:vMerge w:val="restart"/>
            <w:shd w:val="clear" w:color="auto" w:fill="FFFFFF"/>
            <w:vAlign w:val="center"/>
          </w:tcPr>
          <w:p>
            <w:pPr>
              <w:widowControl/>
              <w:jc w:val="center"/>
              <w:rPr>
                <w:rFonts w:ascii="Times New Roman" w:hAnsi="Times New Roman" w:cs="Times New Roman"/>
                <w:bCs/>
                <w:szCs w:val="21"/>
                <w:highlight w:val="none"/>
              </w:rPr>
            </w:pPr>
            <w:r>
              <w:rPr>
                <w:rFonts w:ascii="Times New Roman" w:hAnsi="Times New Roman" w:cs="Times New Roman"/>
                <w:bCs/>
                <w:kern w:val="0"/>
                <w:szCs w:val="21"/>
                <w:highlight w:val="none"/>
              </w:rPr>
              <w:t>分析项目</w:t>
            </w:r>
          </w:p>
        </w:tc>
        <w:tc>
          <w:tcPr>
            <w:tcW w:w="5391" w:type="dxa"/>
            <w:gridSpan w:val="4"/>
            <w:shd w:val="clear" w:color="auto" w:fill="FFFFFF"/>
            <w:vAlign w:val="center"/>
          </w:tcPr>
          <w:p>
            <w:pPr>
              <w:snapToGrid w:val="0"/>
              <w:spacing w:line="240" w:lineRule="auto"/>
              <w:jc w:val="center"/>
              <w:rPr>
                <w:rFonts w:hint="eastAsia" w:ascii="Times New Roman" w:hAnsi="Times New Roman" w:cs="Times New Roman" w:eastAsiaTheme="minorEastAsia"/>
                <w:b w:val="0"/>
                <w:bCs w:val="0"/>
                <w:color w:val="auto"/>
                <w:sz w:val="21"/>
                <w:szCs w:val="21"/>
                <w:lang w:val="en-US" w:eastAsia="zh-CN"/>
              </w:rPr>
            </w:pPr>
            <w:r>
              <w:rPr>
                <w:rFonts w:hint="eastAsia" w:ascii="Times New Roman" w:hAnsi="Times New Roman" w:cs="Times New Roman" w:eastAsiaTheme="minorEastAsia"/>
                <w:b w:val="0"/>
                <w:bCs w:val="0"/>
                <w:color w:val="auto"/>
                <w:sz w:val="21"/>
                <w:szCs w:val="21"/>
                <w:lang w:val="en-US" w:eastAsia="zh-CN"/>
              </w:rPr>
              <w:t>中水处理系统出口</w:t>
            </w:r>
          </w:p>
          <w:p>
            <w:pPr>
              <w:jc w:val="center"/>
              <w:rPr>
                <w:rFonts w:ascii="Times New Roman" w:hAnsi="Times New Roman" w:cs="Times New Roman"/>
                <w:bCs/>
                <w:kern w:val="0"/>
                <w:szCs w:val="21"/>
                <w:highlight w:val="none"/>
                <w:shd w:val="clear" w:color="FFFFFF" w:fill="D9D9D9"/>
              </w:rPr>
            </w:pP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（N34°30′0</w:t>
            </w:r>
            <w:r>
              <w:rPr>
                <w:rFonts w:hint="eastAsia" w:ascii="Times New Roman" w:hAnsi="Times New Roman" w:cs="Times New Roman" w:eastAsiaTheme="minorEastAsia"/>
                <w:b w:val="0"/>
                <w:bCs w:val="0"/>
                <w:i w:val="0"/>
                <w:color w:val="000000" w:themeColor="text1"/>
                <w:kern w:val="0"/>
                <w:sz w:val="21"/>
                <w:szCs w:val="21"/>
                <w:u w:val="none"/>
                <w:lang w:val="en-US" w:eastAsia="zh-CN" w:bidi="ar"/>
              </w:rPr>
              <w:t>2.96</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 E109°26′</w:t>
            </w:r>
            <w:r>
              <w:rPr>
                <w:rFonts w:hint="eastAsia" w:ascii="Times New Roman" w:hAnsi="Times New Roman" w:cs="Times New Roman" w:eastAsiaTheme="minorEastAsia"/>
                <w:b w:val="0"/>
                <w:bCs w:val="0"/>
                <w:i w:val="0"/>
                <w:color w:val="000000" w:themeColor="text1"/>
                <w:kern w:val="0"/>
                <w:sz w:val="21"/>
                <w:szCs w:val="21"/>
                <w:u w:val="none"/>
                <w:lang w:val="en-US" w:eastAsia="zh-CN" w:bidi="ar"/>
              </w:rPr>
              <w:t>03.71</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textAlignment w:val="center"/>
              <w:rPr>
                <w:rFonts w:ascii="Times New Roman" w:hAnsi="Times New Roman" w:cs="Times New Roman"/>
                <w:bCs/>
                <w:szCs w:val="21"/>
                <w:highlight w:val="none"/>
              </w:rPr>
            </w:pPr>
          </w:p>
        </w:tc>
        <w:tc>
          <w:tcPr>
            <w:tcW w:w="1245" w:type="dxa"/>
            <w:vMerge w:val="continue"/>
            <w:shd w:val="clear" w:color="auto" w:fill="FFFFFF"/>
            <w:vAlign w:val="center"/>
          </w:tcPr>
          <w:p>
            <w:pPr>
              <w:widowControl/>
              <w:jc w:val="center"/>
              <w:textAlignment w:val="center"/>
              <w:rPr>
                <w:rFonts w:ascii="Times New Roman" w:hAnsi="Times New Roman" w:cs="Times New Roman"/>
                <w:bCs/>
                <w:szCs w:val="21"/>
                <w:highlight w:val="none"/>
              </w:rPr>
            </w:pPr>
          </w:p>
        </w:tc>
        <w:tc>
          <w:tcPr>
            <w:tcW w:w="1506"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监测值范围</w:t>
            </w:r>
          </w:p>
        </w:tc>
        <w:tc>
          <w:tcPr>
            <w:tcW w:w="1347"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标准值</w:t>
            </w:r>
          </w:p>
        </w:tc>
        <w:tc>
          <w:tcPr>
            <w:tcW w:w="1275"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达标情况</w:t>
            </w:r>
          </w:p>
        </w:tc>
        <w:tc>
          <w:tcPr>
            <w:tcW w:w="1263" w:type="dxa"/>
            <w:shd w:val="clear" w:color="auto" w:fill="FFFFFF"/>
            <w:vAlign w:val="center"/>
          </w:tcPr>
          <w:p>
            <w:pPr>
              <w:snapToGrid w:val="0"/>
              <w:jc w:val="center"/>
              <w:rPr>
                <w:rFonts w:ascii="Times New Roman" w:hAnsi="Times New Roman" w:cs="Times New Roman"/>
                <w:szCs w:val="21"/>
                <w:highlight w:val="none"/>
              </w:rPr>
            </w:pPr>
            <w:r>
              <w:rPr>
                <w:rFonts w:ascii="Times New Roman" w:hAnsi="Times New Roman" w:cs="Times New Roman"/>
                <w:szCs w:val="21"/>
                <w:highlight w:val="none"/>
              </w:rPr>
              <w:t>处理效率%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月14日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eastAsia" w:ascii="Times New Roman" w:hAnsi="Times New Roman" w:cs="Times New Roman" w:eastAsiaTheme="minorEastAsia"/>
                <w:color w:val="auto"/>
                <w:sz w:val="21"/>
                <w:szCs w:val="21"/>
                <w:lang w:val="en-US" w:eastAsia="zh-CN"/>
              </w:rPr>
              <w:t>（无量纲）</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7.84-8.18</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6-9</w:t>
            </w:r>
          </w:p>
        </w:tc>
        <w:tc>
          <w:tcPr>
            <w:tcW w:w="1275"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eastAsia="zh-CN"/>
              </w:rPr>
            </w:pPr>
            <w:r>
              <w:rPr>
                <w:rFonts w:hint="eastAsia" w:ascii="Times New Roman" w:hAnsi="Times New Roman"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化学需氧量（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10-14</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300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bCs/>
                <w:szCs w:val="21"/>
                <w:highlight w:val="none"/>
                <w:lang w:val="en-US" w:eastAsia="zh-CN"/>
              </w:rPr>
            </w:pPr>
            <w:r>
              <w:rPr>
                <w:rFonts w:hint="eastAsia" w:ascii="Times New Roman" w:hAnsi="Times New Roman" w:eastAsia="宋体" w:cs="Times New Roman"/>
                <w:bCs/>
                <w:szCs w:val="21"/>
                <w:highlight w:val="none"/>
                <w:lang w:val="en-US" w:eastAsia="zh-CN"/>
              </w:rPr>
              <w:t>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五日生化需氧量（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3.9-5.0</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150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0.143-0.152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25</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bCs/>
                <w:szCs w:val="21"/>
                <w:highlight w:val="none"/>
                <w:lang w:val="en-US" w:eastAsia="zh-CN"/>
              </w:rPr>
            </w:pPr>
            <w:r>
              <w:rPr>
                <w:rFonts w:hint="eastAsia" w:ascii="Times New Roman" w:hAnsi="Times New Roman" w:eastAsia="宋体" w:cs="Times New Roman"/>
                <w:bCs/>
                <w:szCs w:val="21"/>
                <w:highlight w:val="none"/>
                <w:lang w:val="en-US" w:eastAsia="zh-CN"/>
              </w:rPr>
              <w:t>86.9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总氮（</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1.07-1.21</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70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总磷（</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1.122-1.132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w:t>
            </w:r>
          </w:p>
        </w:tc>
        <w:tc>
          <w:tcPr>
            <w:tcW w:w="1275"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悬浮物（</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8-11</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400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石油类（</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0.49-0.59</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15</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氯离子（</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3.0-5.4</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800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总硬度（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28.8-32.2</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总碱度（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40.8-52.0</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浊度（NTU）</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2.0</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总铁（</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eastAsiaTheme="minorEastAsia"/>
                <w:b w:val="0"/>
                <w:bCs w:val="0"/>
                <w:color w:val="auto"/>
                <w:sz w:val="21"/>
                <w:szCs w:val="21"/>
                <w:lang w:val="en-US" w:eastAsia="zh-CN"/>
              </w:rPr>
              <w:t>ND0.03</w:t>
            </w:r>
          </w:p>
        </w:tc>
        <w:tc>
          <w:tcPr>
            <w:tcW w:w="1347"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1.0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restart"/>
            <w:shd w:val="clear" w:color="auto" w:fill="auto"/>
            <w:vAlign w:val="center"/>
          </w:tcPr>
          <w:p>
            <w:pPr>
              <w:widowControl/>
              <w:jc w:val="center"/>
              <w:rPr>
                <w:rFonts w:ascii="Times New Roman" w:hAnsi="Times New Roman" w:cs="Times New Roman"/>
                <w:szCs w:val="21"/>
                <w:highlight w:val="none"/>
              </w:rPr>
            </w:pPr>
            <w:r>
              <w:rPr>
                <w:rFonts w:ascii="Times New Roman" w:hAnsi="Times New Roman" w:cs="Times New Roman"/>
                <w:szCs w:val="21"/>
                <w:highlight w:val="none"/>
              </w:rPr>
              <w:t>2018年</w:t>
            </w:r>
            <w:r>
              <w:rPr>
                <w:rFonts w:hint="default" w:ascii="Times New Roman" w:hAnsi="Times New Roman" w:cs="Times New Roman" w:eastAsiaTheme="minorEastAsia"/>
                <w:b w:val="0"/>
                <w:bCs w:val="0"/>
                <w:color w:val="auto"/>
                <w:sz w:val="21"/>
                <w:szCs w:val="21"/>
                <w:highlight w:val="none"/>
                <w:lang w:val="en-US" w:eastAsia="zh-CN"/>
              </w:rPr>
              <w:t>1</w:t>
            </w:r>
            <w:r>
              <w:rPr>
                <w:rFonts w:hint="eastAsia"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b w:val="0"/>
                <w:bCs w:val="0"/>
                <w:color w:val="auto"/>
                <w:sz w:val="21"/>
                <w:szCs w:val="21"/>
                <w:lang w:val="en-US" w:eastAsia="zh-CN"/>
              </w:rPr>
              <w:t>月1</w:t>
            </w:r>
            <w:r>
              <w:rPr>
                <w:rFonts w:hint="eastAsia" w:ascii="Times New Roman" w:hAnsi="Times New Roman" w:cs="Times New Roman" w:eastAsiaTheme="minorEastAsia"/>
                <w:b w:val="0"/>
                <w:bCs w:val="0"/>
                <w:color w:val="auto"/>
                <w:sz w:val="21"/>
                <w:szCs w:val="21"/>
                <w:lang w:val="en-US" w:eastAsia="zh-CN"/>
              </w:rPr>
              <w:t>5</w:t>
            </w:r>
            <w:r>
              <w:rPr>
                <w:rFonts w:hint="default" w:ascii="Times New Roman" w:hAnsi="Times New Roman" w:cs="Times New Roman" w:eastAsiaTheme="minorEastAsia"/>
                <w:b w:val="0"/>
                <w:bCs w:val="0"/>
                <w:color w:val="auto"/>
                <w:sz w:val="21"/>
                <w:szCs w:val="21"/>
                <w:lang w:val="en-US" w:eastAsia="zh-CN"/>
              </w:rPr>
              <w:t>日</w:t>
            </w:r>
          </w:p>
        </w:tc>
        <w:tc>
          <w:tcPr>
            <w:tcW w:w="1245" w:type="dxa"/>
            <w:shd w:val="clear" w:color="auto" w:fill="FFFFFF"/>
            <w:vAlign w:val="center"/>
          </w:tcPr>
          <w:p>
            <w:pPr>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p>
            <w:pPr>
              <w:snapToGrid w:val="0"/>
              <w:spacing w:line="240" w:lineRule="auto"/>
              <w:jc w:val="center"/>
              <w:rPr>
                <w:rFonts w:ascii="Times New Roman" w:hAnsi="Times New Roman" w:cs="Times New Roman"/>
                <w:kern w:val="0"/>
                <w:szCs w:val="21"/>
                <w:highlight w:val="none"/>
              </w:rPr>
            </w:pPr>
            <w:r>
              <w:rPr>
                <w:rFonts w:hint="eastAsia" w:ascii="Times New Roman" w:hAnsi="Times New Roman" w:cs="Times New Roman" w:eastAsiaTheme="minorEastAsia"/>
                <w:color w:val="auto"/>
                <w:sz w:val="21"/>
                <w:szCs w:val="21"/>
                <w:lang w:val="en-US" w:eastAsia="zh-CN"/>
              </w:rPr>
              <w:t>（无量纲）</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7.38-8.15</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6-9</w:t>
            </w:r>
          </w:p>
        </w:tc>
        <w:tc>
          <w:tcPr>
            <w:tcW w:w="1275" w:type="dxa"/>
            <w:shd w:val="clear" w:color="auto" w:fill="FFFFFF"/>
            <w:vAlign w:val="center"/>
          </w:tcPr>
          <w:p>
            <w:pPr>
              <w:widowControl/>
              <w:jc w:val="center"/>
              <w:textAlignment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化学需氧量（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13-16</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300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五日生化需氧量（</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5.1-5.8</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150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napToGrid w:val="0"/>
              <w:spacing w:line="240" w:lineRule="auto"/>
              <w:jc w:val="center"/>
              <w:rPr>
                <w:rFonts w:ascii="Times New Roman" w:hAnsi="Times New Roman" w:cs="Times New Roman"/>
                <w:kern w:val="0"/>
                <w:szCs w:val="21"/>
                <w:highlight w:val="none"/>
              </w:rPr>
            </w:pPr>
            <w:r>
              <w:rPr>
                <w:rFonts w:hint="default" w:ascii="Times New Roman" w:hAnsi="Times New Roman" w:cs="Times New Roman" w:eastAsiaTheme="minorEastAsia"/>
                <w:color w:val="auto"/>
                <w:sz w:val="21"/>
                <w:szCs w:val="21"/>
                <w:lang w:val="en-US" w:eastAsia="zh-CN"/>
              </w:rPr>
              <w:t>氨氮</w:t>
            </w:r>
            <w:r>
              <w:rPr>
                <w:rFonts w:hint="eastAsia" w:ascii="Times New Roman" w:hAnsi="Times New Roman" w:cs="Times New Roman"/>
                <w:sz w:val="21"/>
                <w:szCs w:val="21"/>
                <w:lang w:val="en-US" w:eastAsia="zh-CN"/>
              </w:rPr>
              <w:t>（</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0.132-0.154</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25</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总氮（</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1.11-1.43</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70</w:t>
            </w:r>
          </w:p>
        </w:tc>
        <w:tc>
          <w:tcPr>
            <w:tcW w:w="1275" w:type="dxa"/>
            <w:shd w:val="clear" w:color="auto" w:fill="FFFFFF"/>
            <w:vAlign w:val="center"/>
          </w:tcPr>
          <w:p>
            <w:pPr>
              <w:jc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52.7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kern w:val="0"/>
                <w:szCs w:val="21"/>
                <w:highlight w:val="none"/>
              </w:rPr>
            </w:pPr>
            <w:r>
              <w:rPr>
                <w:rFonts w:hint="eastAsia" w:ascii="Times New Roman" w:hAnsi="Times New Roman" w:cs="Times New Roman"/>
                <w:sz w:val="21"/>
                <w:szCs w:val="21"/>
                <w:lang w:val="en-US" w:eastAsia="zh-CN"/>
              </w:rPr>
              <w:t>总磷（</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0.131-0.148</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8</w:t>
            </w:r>
          </w:p>
        </w:tc>
        <w:tc>
          <w:tcPr>
            <w:tcW w:w="1275" w:type="dxa"/>
            <w:shd w:val="clear" w:color="auto" w:fill="FFFFFF"/>
            <w:vAlign w:val="center"/>
          </w:tcPr>
          <w:p>
            <w:pPr>
              <w:widowControl/>
              <w:jc w:val="center"/>
              <w:textAlignment w:val="center"/>
              <w:rPr>
                <w:rFonts w:ascii="Times New Roman" w:hAnsi="Times New Roman" w:cs="Times New Roman"/>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悬浮物（</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8-10</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400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65.4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石油类（</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0.47-0.57</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15</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氯离子（</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80.9-96.4</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800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总硬度（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25.4-33.0</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总碱度（</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26.8-45.9</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浊度（NTU）</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2.0</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892" w:type="dxa"/>
            <w:vMerge w:val="continue"/>
            <w:shd w:val="clear" w:color="auto" w:fill="auto"/>
            <w:vAlign w:val="center"/>
          </w:tcPr>
          <w:p>
            <w:pPr>
              <w:widowControl/>
              <w:jc w:val="center"/>
              <w:rPr>
                <w:rFonts w:ascii="Times New Roman" w:hAnsi="Times New Roman" w:cs="Times New Roman"/>
                <w:szCs w:val="21"/>
                <w:highlight w:val="none"/>
              </w:rPr>
            </w:pPr>
          </w:p>
        </w:tc>
        <w:tc>
          <w:tcPr>
            <w:tcW w:w="1245" w:type="dxa"/>
            <w:shd w:val="clear" w:color="auto" w:fill="FFFFFF"/>
            <w:vAlign w:val="center"/>
          </w:tcPr>
          <w:p>
            <w:pPr>
              <w:spacing w:line="216" w:lineRule="auto"/>
              <w:jc w:val="center"/>
              <w:rPr>
                <w:rFonts w:ascii="Times New Roman" w:hAnsi="Times New Roman" w:cs="Times New Roman"/>
                <w:szCs w:val="21"/>
                <w:highlight w:val="none"/>
              </w:rPr>
            </w:pPr>
            <w:r>
              <w:rPr>
                <w:rFonts w:hint="eastAsia" w:ascii="Times New Roman" w:hAnsi="Times New Roman" w:cs="Times New Roman"/>
                <w:sz w:val="21"/>
                <w:szCs w:val="21"/>
                <w:lang w:val="en-US" w:eastAsia="zh-CN"/>
              </w:rPr>
              <w:t>总铁（</w:t>
            </w:r>
            <w:r>
              <w:rPr>
                <w:rFonts w:hint="default" w:ascii="Times New Roman" w:hAnsi="Times New Roman" w:cs="Times New Roman"/>
                <w:bCs/>
                <w:sz w:val="21"/>
                <w:szCs w:val="21"/>
                <w:lang w:val="en-US" w:eastAsia="zh-CN"/>
              </w:rPr>
              <w:t>mg/</w:t>
            </w:r>
            <w:r>
              <w:rPr>
                <w:rFonts w:hint="eastAsia" w:ascii="Times New Roman" w:hAnsi="Times New Roman" w:cs="Times New Roman"/>
                <w:bCs/>
                <w:sz w:val="21"/>
                <w:szCs w:val="21"/>
                <w:lang w:val="en-US" w:eastAsia="zh-CN"/>
              </w:rPr>
              <w:t>L</w:t>
            </w:r>
            <w:r>
              <w:rPr>
                <w:rFonts w:hint="eastAsia" w:ascii="Times New Roman" w:hAnsi="Times New Roman" w:cs="Times New Roman"/>
                <w:sz w:val="21"/>
                <w:szCs w:val="21"/>
                <w:lang w:val="en-US" w:eastAsia="zh-CN"/>
              </w:rPr>
              <w:t>）</w:t>
            </w:r>
          </w:p>
        </w:tc>
        <w:tc>
          <w:tcPr>
            <w:tcW w:w="1506"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cs="Times New Roman" w:eastAsiaTheme="minorEastAsia"/>
                <w:b w:val="0"/>
                <w:bCs w:val="0"/>
                <w:color w:val="auto"/>
                <w:sz w:val="21"/>
                <w:szCs w:val="21"/>
                <w:lang w:val="en-US" w:eastAsia="zh-CN"/>
              </w:rPr>
              <w:t>ND0.03</w:t>
            </w:r>
          </w:p>
        </w:tc>
        <w:tc>
          <w:tcPr>
            <w:tcW w:w="1347" w:type="dxa"/>
            <w:shd w:val="clear" w:color="auto" w:fill="FFFFFF"/>
            <w:vAlign w:val="center"/>
          </w:tcPr>
          <w:p>
            <w:pPr>
              <w:widowControl/>
              <w:jc w:val="center"/>
              <w:textAlignment w:val="center"/>
              <w:rPr>
                <w:rFonts w:ascii="Times New Roman" w:hAnsi="Times New Roman" w:cs="Times New Roman"/>
                <w:kern w:val="0"/>
                <w:szCs w:val="21"/>
                <w:highlight w:val="none"/>
              </w:rPr>
            </w:pPr>
            <w:r>
              <w:rPr>
                <w:rFonts w:hint="eastAsia" w:ascii="Times New Roman" w:hAnsi="Times New Roman" w:cs="Times New Roman"/>
                <w:kern w:val="0"/>
                <w:szCs w:val="21"/>
                <w:highlight w:val="none"/>
                <w:lang w:val="en-US" w:eastAsia="zh-CN"/>
              </w:rPr>
              <w:t>1.0</w:t>
            </w:r>
          </w:p>
        </w:tc>
        <w:tc>
          <w:tcPr>
            <w:tcW w:w="1275" w:type="dxa"/>
            <w:shd w:val="clear" w:color="auto" w:fill="FFFFFF"/>
            <w:vAlign w:val="center"/>
          </w:tcPr>
          <w:p>
            <w:pPr>
              <w:jc w:val="center"/>
              <w:rPr>
                <w:rFonts w:ascii="Times New Roman" w:hAnsi="Times New Roman" w:cs="Times New Roman"/>
                <w:kern w:val="0"/>
                <w:szCs w:val="21"/>
                <w:highlight w:val="none"/>
              </w:rPr>
            </w:pPr>
            <w:r>
              <w:rPr>
                <w:rFonts w:ascii="Times New Roman" w:hAnsi="Times New Roman" w:cs="Times New Roman"/>
                <w:kern w:val="0"/>
                <w:szCs w:val="21"/>
                <w:highlight w:val="none"/>
              </w:rPr>
              <w:t>达标</w:t>
            </w:r>
          </w:p>
        </w:tc>
        <w:tc>
          <w:tcPr>
            <w:tcW w:w="1263" w:type="dxa"/>
            <w:shd w:val="clear" w:color="auto" w:fill="FFFFFF"/>
            <w:vAlign w:val="center"/>
          </w:tcPr>
          <w:p>
            <w:pPr>
              <w:widowControl/>
              <w:jc w:val="center"/>
              <w:textAlignment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96.7</w:t>
            </w:r>
          </w:p>
        </w:tc>
      </w:tr>
    </w:tbl>
    <w:p>
      <w:pPr>
        <w:rPr>
          <w:rFonts w:hint="eastAsia" w:ascii="宋体" w:hAnsi="宋体" w:eastAsia="宋体" w:cs="宋体"/>
          <w:b w:val="0"/>
          <w:bCs w:val="0"/>
          <w:sz w:val="24"/>
          <w:szCs w:val="24"/>
          <w:lang w:val="en-US" w:eastAsia="zh-CN"/>
        </w:rPr>
      </w:pPr>
    </w:p>
    <w:p>
      <w:pPr>
        <w:spacing w:line="360" w:lineRule="auto"/>
        <w:ind w:firstLine="480" w:firstLineChars="200"/>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由表9.2-3可知，验收监测期间，中水处理站出口水质监测结果均满足</w:t>
      </w:r>
      <w:r>
        <w:rPr>
          <w:rFonts w:hint="eastAsia" w:ascii="Times New Roman" w:hAnsi="Times New Roman" w:cs="Times New Roman"/>
          <w:sz w:val="24"/>
          <w:lang w:val="en-US" w:eastAsia="zh-CN"/>
        </w:rPr>
        <w:t>《黄河流域（陕西段）污水综合排放标准》（DB61/224-2011）二级标准、《污水综合排放标准》（GB8978-1996）中三级标准及《污水排入城镇下水道水质标准》（GB/T31962-2015）中的B等级标准</w:t>
      </w:r>
      <w:r>
        <w:rPr>
          <w:rFonts w:hint="eastAsia" w:ascii="Times New Roman" w:hAnsi="Times New Roman" w:cs="Times New Roman"/>
          <w:b w:val="0"/>
          <w:bCs w:val="0"/>
          <w:sz w:val="24"/>
          <w:szCs w:val="24"/>
          <w:lang w:val="en-US" w:eastAsia="zh-CN"/>
        </w:rPr>
        <w:t>。</w:t>
      </w:r>
    </w:p>
    <w:p>
      <w:pPr>
        <w:numPr>
          <w:numId w:val="0"/>
        </w:numPr>
        <w:spacing w:line="360" w:lineRule="auto"/>
        <w:rPr>
          <w:rFonts w:hint="eastAsia"/>
          <w:sz w:val="24"/>
          <w:szCs w:val="24"/>
          <w:lang w:val="en-US" w:eastAsia="zh-CN"/>
        </w:rPr>
      </w:pPr>
      <w:r>
        <w:rPr>
          <w:rFonts w:hint="eastAsia"/>
          <w:b/>
          <w:bCs/>
          <w:sz w:val="24"/>
          <w:szCs w:val="24"/>
          <w:lang w:val="en-US" w:eastAsia="zh-CN"/>
        </w:rPr>
        <w:t>9.2.3 地下水监测结果及评价</w:t>
      </w:r>
    </w:p>
    <w:p>
      <w:pPr>
        <w:spacing w:line="360" w:lineRule="auto"/>
        <w:ind w:firstLine="420" w:firstLineChars="200"/>
        <w:rPr>
          <w:rFonts w:hint="eastAsia" w:ascii="Times New Roman" w:hAnsi="Times New Roman" w:cs="Times New Roman"/>
          <w:sz w:val="24"/>
          <w:szCs w:val="20"/>
        </w:rPr>
      </w:pPr>
      <w:r>
        <w:rPr>
          <w:rFonts w:hint="eastAsia"/>
          <w:lang w:val="en-US" w:eastAsia="zh-CN"/>
        </w:rPr>
        <w:t xml:space="preserve">  </w:t>
      </w:r>
      <w:r>
        <w:rPr>
          <w:rFonts w:ascii="Times New Roman" w:hAnsi="Times New Roman" w:cs="Times New Roman"/>
          <w:sz w:val="24"/>
          <w:szCs w:val="20"/>
        </w:rPr>
        <w:t>201</w:t>
      </w:r>
      <w:r>
        <w:rPr>
          <w:rFonts w:hint="eastAsia" w:ascii="Times New Roman" w:hAnsi="Times New Roman" w:cs="Times New Roman"/>
          <w:sz w:val="24"/>
          <w:szCs w:val="20"/>
        </w:rPr>
        <w:t>8</w:t>
      </w:r>
      <w:r>
        <w:rPr>
          <w:rFonts w:ascii="Times New Roman" w:hAnsi="Times New Roman" w:cs="Times New Roman"/>
          <w:sz w:val="24"/>
          <w:szCs w:val="20"/>
        </w:rPr>
        <w:t>年</w:t>
      </w:r>
      <w:r>
        <w:rPr>
          <w:rFonts w:hint="eastAsia" w:ascii="Times New Roman" w:hAnsi="Times New Roman" w:cs="Times New Roman"/>
          <w:sz w:val="24"/>
          <w:szCs w:val="20"/>
          <w:lang w:val="en-US" w:eastAsia="zh-CN"/>
        </w:rPr>
        <w:t>11</w:t>
      </w:r>
      <w:r>
        <w:rPr>
          <w:rFonts w:ascii="Times New Roman" w:hAnsi="Times New Roman" w:cs="Times New Roman"/>
          <w:sz w:val="24"/>
          <w:szCs w:val="20"/>
        </w:rPr>
        <w:t>月</w:t>
      </w:r>
      <w:r>
        <w:rPr>
          <w:rFonts w:hint="eastAsia" w:ascii="Times New Roman" w:hAnsi="Times New Roman" w:cs="Times New Roman"/>
          <w:sz w:val="24"/>
          <w:szCs w:val="20"/>
          <w:lang w:val="en-US" w:eastAsia="zh-CN"/>
        </w:rPr>
        <w:t>14</w:t>
      </w:r>
      <w:r>
        <w:rPr>
          <w:rFonts w:hint="eastAsia" w:ascii="Times New Roman" w:hAnsi="Times New Roman" w:cs="Times New Roman"/>
          <w:sz w:val="24"/>
          <w:szCs w:val="20"/>
        </w:rPr>
        <w:t>~</w:t>
      </w:r>
      <w:r>
        <w:rPr>
          <w:rFonts w:hint="eastAsia" w:ascii="Times New Roman" w:hAnsi="Times New Roman" w:cs="Times New Roman"/>
          <w:sz w:val="24"/>
          <w:szCs w:val="20"/>
          <w:lang w:val="en-US" w:eastAsia="zh-CN"/>
        </w:rPr>
        <w:t>15</w:t>
      </w:r>
      <w:r>
        <w:rPr>
          <w:rFonts w:ascii="Times New Roman" w:hAnsi="Times New Roman" w:cs="Times New Roman"/>
          <w:sz w:val="24"/>
          <w:szCs w:val="20"/>
        </w:rPr>
        <w:t>日，</w:t>
      </w:r>
      <w:r>
        <w:rPr>
          <w:rFonts w:hint="eastAsia" w:ascii="Times New Roman" w:hAnsi="Times New Roman" w:cs="Times New Roman"/>
          <w:b w:val="0"/>
          <w:bCs w:val="0"/>
          <w:sz w:val="24"/>
          <w:szCs w:val="24"/>
          <w:lang w:val="en-US" w:eastAsia="zh-CN"/>
        </w:rPr>
        <w:t>陕西阔成环境检测有限公司</w:t>
      </w:r>
      <w:r>
        <w:rPr>
          <w:rFonts w:ascii="Times New Roman" w:hAnsi="Times New Roman" w:cs="Times New Roman"/>
          <w:sz w:val="24"/>
          <w:szCs w:val="20"/>
        </w:rPr>
        <w:t>对</w:t>
      </w:r>
      <w:r>
        <w:rPr>
          <w:rFonts w:hint="eastAsia" w:ascii="Times New Roman" w:hAnsi="Times New Roman" w:cs="Times New Roman"/>
          <w:sz w:val="24"/>
          <w:szCs w:val="20"/>
        </w:rPr>
        <w:t>本项目</w:t>
      </w:r>
      <w:r>
        <w:rPr>
          <w:rFonts w:hint="eastAsia" w:ascii="Times New Roman" w:hAnsi="Times New Roman" w:cs="Times New Roman"/>
          <w:sz w:val="24"/>
          <w:szCs w:val="20"/>
          <w:lang w:eastAsia="zh-CN"/>
        </w:rPr>
        <w:t>附近地下水水质</w:t>
      </w:r>
      <w:r>
        <w:rPr>
          <w:rFonts w:ascii="Times New Roman" w:hAnsi="Times New Roman" w:cs="Times New Roman"/>
          <w:sz w:val="24"/>
          <w:szCs w:val="20"/>
        </w:rPr>
        <w:t>进行了监测</w:t>
      </w:r>
      <w:r>
        <w:rPr>
          <w:rFonts w:hint="eastAsia" w:ascii="Times New Roman" w:hAnsi="Times New Roman" w:cs="Times New Roman"/>
          <w:sz w:val="24"/>
          <w:szCs w:val="20"/>
        </w:rPr>
        <w:t>。监测结果见表</w:t>
      </w:r>
      <w:r>
        <w:rPr>
          <w:rFonts w:hint="eastAsia" w:ascii="Times New Roman" w:hAnsi="Times New Roman" w:cs="Times New Roman"/>
          <w:sz w:val="24"/>
          <w:szCs w:val="20"/>
          <w:lang w:val="en-US" w:eastAsia="zh-CN"/>
        </w:rPr>
        <w:t>9.2-4</w:t>
      </w:r>
      <w:r>
        <w:rPr>
          <w:rFonts w:hint="eastAsia" w:ascii="Times New Roman" w:hAnsi="Times New Roman" w:cs="Times New Roman"/>
          <w:sz w:val="24"/>
          <w:szCs w:val="20"/>
        </w:rPr>
        <w:t>。</w:t>
      </w:r>
    </w:p>
    <w:p>
      <w:pPr>
        <w:pStyle w:val="2"/>
        <w:ind w:left="0" w:leftChars="0" w:firstLine="0" w:firstLineChars="0"/>
        <w:jc w:val="center"/>
        <w:rPr>
          <w:rFonts w:hint="eastAsia" w:ascii="Times New Roman" w:hAnsi="Times New Roman" w:cs="Times New Roman"/>
          <w:sz w:val="24"/>
          <w:szCs w:val="20"/>
          <w:lang w:val="en-US" w:eastAsia="zh-CN"/>
        </w:rPr>
      </w:pPr>
      <w:r>
        <w:rPr>
          <w:rFonts w:hint="eastAsia" w:ascii="Times New Roman" w:hAnsi="Times New Roman" w:cs="Times New Roman"/>
          <w:sz w:val="24"/>
          <w:szCs w:val="20"/>
          <w:lang w:eastAsia="zh-CN"/>
        </w:rPr>
        <w:t>表</w:t>
      </w:r>
      <w:r>
        <w:rPr>
          <w:rFonts w:hint="eastAsia" w:ascii="Times New Roman" w:hAnsi="Times New Roman" w:cs="Times New Roman"/>
          <w:sz w:val="24"/>
          <w:szCs w:val="20"/>
          <w:lang w:val="en-US" w:eastAsia="zh-CN"/>
        </w:rPr>
        <w:t>9.2-4  地下水监测结果</w:t>
      </w:r>
    </w:p>
    <w:tbl>
      <w:tblPr>
        <w:tblStyle w:val="27"/>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1"/>
        <w:gridCol w:w="1712"/>
        <w:gridCol w:w="1221"/>
        <w:gridCol w:w="1214"/>
        <w:gridCol w:w="1209"/>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restart"/>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监测点位</w:t>
            </w:r>
          </w:p>
        </w:tc>
        <w:tc>
          <w:tcPr>
            <w:tcW w:w="1712" w:type="dxa"/>
            <w:vMerge w:val="restart"/>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监测项目</w:t>
            </w:r>
          </w:p>
        </w:tc>
        <w:tc>
          <w:tcPr>
            <w:tcW w:w="2435" w:type="dxa"/>
            <w:gridSpan w:val="2"/>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11月14日</w:t>
            </w:r>
          </w:p>
        </w:tc>
        <w:tc>
          <w:tcPr>
            <w:tcW w:w="2410" w:type="dxa"/>
            <w:gridSpan w:val="2"/>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第一次</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第二次</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第三次</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restart"/>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党家庄地下水</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（N34°29′41.09″ E109°26′05.02″）</w:t>
            </w:r>
          </w:p>
        </w:tc>
        <w:tc>
          <w:tcPr>
            <w:tcW w:w="1712" w:type="dxa"/>
            <w:vAlign w:val="center"/>
          </w:tcPr>
          <w:p>
            <w:pPr>
              <w:snapToGrid w:val="0"/>
              <w:spacing w:line="28" w:lineRule="atLeast"/>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color w:val="auto"/>
                <w:sz w:val="21"/>
                <w:szCs w:val="21"/>
                <w:lang w:val="en-US" w:eastAsia="zh-CN"/>
              </w:rPr>
              <w:t>（无量纲）</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7.46</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7.83</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7.58</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氨氮（</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0.128</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0.132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0.123</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color w:val="auto"/>
                <w:sz w:val="21"/>
                <w:szCs w:val="21"/>
                <w:lang w:eastAsia="zh-CN"/>
              </w:rPr>
              <w:t>高锰酸盐指数</w:t>
            </w:r>
            <w:r>
              <w:rPr>
                <w:rFonts w:hint="default" w:ascii="Times New Roman" w:hAnsi="Times New Roman" w:cs="Times New Roman" w:eastAsiaTheme="minorEastAsia"/>
                <w:sz w:val="21"/>
                <w:szCs w:val="21"/>
                <w:lang w:val="en-US" w:eastAsia="zh-CN"/>
              </w:rPr>
              <w:t>（</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0.9</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硝酸盐（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亚硝酸盐（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硫酸盐（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9.12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9.74</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10.4</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硫化物（</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氯化物（</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115</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113</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112</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铁（</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0.088</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0.087</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0.091</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总硬度（</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339</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325</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323</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溶解性总固体（</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auto"/>
                <w:sz w:val="21"/>
                <w:szCs w:val="21"/>
                <w:lang w:val="en-US" w:eastAsia="zh-CN"/>
              </w:rPr>
              <w:t>897</w:t>
            </w:r>
          </w:p>
        </w:tc>
        <w:tc>
          <w:tcPr>
            <w:tcW w:w="1214" w:type="dxa"/>
            <w:vAlign w:val="center"/>
          </w:tcPr>
          <w:p>
            <w:pPr>
              <w:snapToGrid w:val="0"/>
              <w:spacing w:line="28" w:lineRule="atLeast"/>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auto"/>
                <w:sz w:val="21"/>
                <w:szCs w:val="21"/>
                <w:lang w:val="en-US" w:eastAsia="zh-CN"/>
              </w:rPr>
              <w:t>926</w:t>
            </w:r>
          </w:p>
        </w:tc>
        <w:tc>
          <w:tcPr>
            <w:tcW w:w="1209" w:type="dxa"/>
            <w:vAlign w:val="center"/>
          </w:tcPr>
          <w:p>
            <w:pPr>
              <w:snapToGrid w:val="0"/>
              <w:spacing w:line="28" w:lineRule="atLeast"/>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auto"/>
                <w:sz w:val="21"/>
                <w:szCs w:val="21"/>
                <w:lang w:val="en-US" w:eastAsia="zh-CN"/>
              </w:rPr>
              <w:t>954</w:t>
            </w:r>
          </w:p>
        </w:tc>
        <w:tc>
          <w:tcPr>
            <w:tcW w:w="1201" w:type="dxa"/>
            <w:vAlign w:val="center"/>
          </w:tcPr>
          <w:p>
            <w:pPr>
              <w:snapToGrid w:val="0"/>
              <w:spacing w:line="28" w:lineRule="atLeast"/>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auto"/>
                <w:sz w:val="21"/>
                <w:szCs w:val="21"/>
                <w:lang w:val="en-US" w:eastAsia="zh-CN"/>
              </w:rPr>
              <w:t>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restart"/>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麻李</w:t>
            </w:r>
            <w:r>
              <w:rPr>
                <w:rFonts w:hint="eastAsia" w:ascii="Times New Roman" w:hAnsi="Times New Roman" w:cs="Times New Roman" w:eastAsiaTheme="minorEastAsia"/>
                <w:b w:val="0"/>
                <w:bCs w:val="0"/>
                <w:color w:val="auto"/>
                <w:sz w:val="21"/>
                <w:szCs w:val="21"/>
                <w:lang w:val="en-US" w:eastAsia="zh-CN"/>
              </w:rPr>
              <w:t>滩</w:t>
            </w:r>
            <w:r>
              <w:rPr>
                <w:rFonts w:hint="default" w:ascii="Times New Roman" w:hAnsi="Times New Roman" w:cs="Times New Roman" w:eastAsiaTheme="minorEastAsia"/>
                <w:b w:val="0"/>
                <w:bCs w:val="0"/>
                <w:color w:val="auto"/>
                <w:sz w:val="21"/>
                <w:szCs w:val="21"/>
                <w:lang w:val="en-US" w:eastAsia="zh-CN"/>
              </w:rPr>
              <w:t>地下水</w:t>
            </w:r>
            <w:r>
              <w:rPr>
                <w:rFonts w:hint="default" w:ascii="Times New Roman" w:hAnsi="Times New Roman" w:cs="Times New Roman" w:eastAsiaTheme="minorEastAsia"/>
                <w:b w:val="0"/>
                <w:bCs w:val="0"/>
                <w:i w:val="0"/>
                <w:color w:val="000000" w:themeColor="text1"/>
                <w:kern w:val="0"/>
                <w:sz w:val="21"/>
                <w:szCs w:val="21"/>
                <w:u w:val="none"/>
                <w:lang w:val="en-US" w:eastAsia="zh-CN" w:bidi="ar"/>
              </w:rPr>
              <w:t>（N34°30′11.23″ E109°26′05.61″）</w:t>
            </w:r>
          </w:p>
        </w:tc>
        <w:tc>
          <w:tcPr>
            <w:tcW w:w="1712"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pH值（无量纲）</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7.42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7.68</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7.38</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氨氮（</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0.190</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0.194</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0.188</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0.186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color w:val="auto"/>
                <w:sz w:val="21"/>
                <w:szCs w:val="21"/>
                <w:lang w:eastAsia="zh-CN"/>
              </w:rPr>
              <w:t>高锰酸盐指数</w:t>
            </w:r>
            <w:r>
              <w:rPr>
                <w:rFonts w:hint="default" w:ascii="Times New Roman" w:hAnsi="Times New Roman" w:cs="Times New Roman" w:eastAsiaTheme="minorEastAsia"/>
                <w:sz w:val="21"/>
                <w:szCs w:val="21"/>
                <w:lang w:val="en-US" w:eastAsia="zh-CN"/>
              </w:rPr>
              <w:t>（</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硝酸盐（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亚硝酸盐（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硫酸盐（</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12.6</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13.6</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12.5</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硫化物（</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氯化物（</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109</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120</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145</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铁（</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ND0.03</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ND0.03</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ND0.03</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ND0.03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总硬度（</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313</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339</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339</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jc w:val="center"/>
        </w:trPr>
        <w:tc>
          <w:tcPr>
            <w:tcW w:w="1971" w:type="dxa"/>
            <w:vMerge w:val="continue"/>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p>
        </w:tc>
        <w:tc>
          <w:tcPr>
            <w:tcW w:w="1712" w:type="dxa"/>
            <w:vAlign w:val="center"/>
          </w:tcPr>
          <w:p>
            <w:pPr>
              <w:snapToGrid w:val="0"/>
              <w:spacing w:line="240" w:lineRule="auto"/>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sz w:val="21"/>
                <w:szCs w:val="21"/>
                <w:lang w:val="en-US" w:eastAsia="zh-CN"/>
              </w:rPr>
              <w:t>溶解性总固体（</w:t>
            </w:r>
            <w:r>
              <w:rPr>
                <w:rFonts w:hint="default" w:ascii="Times New Roman" w:hAnsi="Times New Roman" w:cs="Times New Roman" w:eastAsiaTheme="minorEastAsia"/>
                <w:bCs/>
                <w:sz w:val="21"/>
                <w:szCs w:val="21"/>
                <w:lang w:val="en-US" w:eastAsia="zh-CN"/>
              </w:rPr>
              <w:t>mg/L</w:t>
            </w:r>
            <w:r>
              <w:rPr>
                <w:rFonts w:hint="default" w:ascii="Times New Roman" w:hAnsi="Times New Roman" w:cs="Times New Roman" w:eastAsiaTheme="minorEastAsia"/>
                <w:sz w:val="21"/>
                <w:szCs w:val="21"/>
                <w:lang w:val="en-US" w:eastAsia="zh-CN"/>
              </w:rPr>
              <w:t>）</w:t>
            </w:r>
          </w:p>
        </w:tc>
        <w:tc>
          <w:tcPr>
            <w:tcW w:w="122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979</w:t>
            </w:r>
          </w:p>
        </w:tc>
        <w:tc>
          <w:tcPr>
            <w:tcW w:w="1214"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992</w:t>
            </w:r>
          </w:p>
        </w:tc>
        <w:tc>
          <w:tcPr>
            <w:tcW w:w="1209"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988</w:t>
            </w:r>
          </w:p>
        </w:tc>
        <w:tc>
          <w:tcPr>
            <w:tcW w:w="1201" w:type="dxa"/>
            <w:vAlign w:val="center"/>
          </w:tcPr>
          <w:p>
            <w:pPr>
              <w:snapToGrid w:val="0"/>
              <w:spacing w:line="28" w:lineRule="atLeast"/>
              <w:jc w:val="center"/>
              <w:rPr>
                <w:rFonts w:hint="default" w:ascii="Times New Roman" w:hAnsi="Times New Roman" w:cs="Times New Roman" w:eastAsiaTheme="minorEastAsia"/>
                <w:b w:val="0"/>
                <w:bCs w:val="0"/>
                <w:color w:val="auto"/>
                <w:sz w:val="21"/>
                <w:szCs w:val="21"/>
                <w:lang w:val="en-US" w:eastAsia="zh-CN"/>
              </w:rPr>
            </w:pPr>
            <w:r>
              <w:rPr>
                <w:rFonts w:hint="eastAsia" w:ascii="Times New Roman" w:hAnsi="Times New Roman" w:cs="Times New Roman" w:eastAsiaTheme="minorEastAsia"/>
                <w:b w:val="0"/>
                <w:bCs w:val="0"/>
                <w:color w:val="auto"/>
                <w:sz w:val="21"/>
                <w:szCs w:val="21"/>
                <w:lang w:val="en-US" w:eastAsia="zh-CN"/>
              </w:rPr>
              <w:t>924</w:t>
            </w:r>
          </w:p>
        </w:tc>
      </w:tr>
    </w:tbl>
    <w:p>
      <w:pPr>
        <w:pStyle w:val="2"/>
        <w:spacing w:line="360" w:lineRule="auto"/>
        <w:ind w:left="0" w:leftChars="0" w:firstLine="720" w:firstLineChars="300"/>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由表9.2-4可知，验收监测期间，党家庄及麻李滩地下水各因子水质监测结果均满足</w:t>
      </w:r>
      <w:r>
        <w:rPr>
          <w:rFonts w:hint="eastAsia" w:ascii="宋体" w:hAnsi="宋体" w:eastAsia="宋体" w:cs="宋体"/>
          <w:b w:val="0"/>
          <w:bCs w:val="0"/>
          <w:sz w:val="24"/>
          <w:lang w:val="en-US" w:eastAsia="zh-CN"/>
        </w:rPr>
        <w:t>《地下水环境质量标准》（GB/T14848-</w:t>
      </w:r>
      <w:r>
        <w:rPr>
          <w:rFonts w:hint="eastAsia" w:ascii="宋体" w:hAnsi="宋体" w:cs="宋体"/>
          <w:b w:val="0"/>
          <w:bCs w:val="0"/>
          <w:sz w:val="24"/>
          <w:lang w:val="en-US" w:eastAsia="zh-CN"/>
        </w:rPr>
        <w:t>2017</w:t>
      </w:r>
      <w:r>
        <w:rPr>
          <w:rFonts w:hint="eastAsia" w:ascii="宋体" w:hAnsi="宋体" w:eastAsia="宋体" w:cs="宋体"/>
          <w:b w:val="0"/>
          <w:bCs w:val="0"/>
          <w:sz w:val="24"/>
          <w:lang w:val="en-US" w:eastAsia="zh-CN"/>
        </w:rPr>
        <w:t>）中的</w:t>
      </w:r>
      <w:r>
        <w:rPr>
          <w:rFonts w:hint="default" w:ascii="Times New Roman" w:hAnsi="Times New Roman" w:eastAsia="宋体" w:cs="Times New Roman"/>
          <w:b w:val="0"/>
          <w:bCs w:val="0"/>
          <w:sz w:val="24"/>
          <w:lang w:val="en-US" w:eastAsia="zh-CN"/>
        </w:rPr>
        <w:t>III</w:t>
      </w:r>
      <w:r>
        <w:rPr>
          <w:rFonts w:hint="eastAsia" w:ascii="宋体" w:hAnsi="宋体" w:eastAsia="宋体" w:cs="宋体"/>
          <w:b w:val="0"/>
          <w:bCs w:val="0"/>
          <w:sz w:val="24"/>
          <w:lang w:val="en-US" w:eastAsia="zh-CN"/>
        </w:rPr>
        <w:t>类标准要求</w:t>
      </w:r>
      <w:r>
        <w:rPr>
          <w:rFonts w:hint="eastAsia" w:ascii="Times New Roman" w:hAnsi="Times New Roman" w:cs="Times New Roman"/>
          <w:sz w:val="24"/>
          <w:szCs w:val="20"/>
          <w:lang w:val="en-US" w:eastAsia="zh-CN"/>
        </w:rPr>
        <w:t>。</w:t>
      </w:r>
    </w:p>
    <w:p>
      <w:pPr>
        <w:spacing w:line="360" w:lineRule="auto"/>
        <w:rPr>
          <w:rFonts w:ascii="Times New Roman" w:hAnsi="Times New Roman" w:eastAsia="宋体" w:cs="Times New Roman"/>
          <w:b/>
          <w:sz w:val="24"/>
        </w:rPr>
      </w:pPr>
      <w:r>
        <w:rPr>
          <w:rFonts w:ascii="Times New Roman" w:hAnsi="Times New Roman" w:eastAsia="宋体" w:cs="Times New Roman"/>
          <w:b/>
          <w:sz w:val="24"/>
        </w:rPr>
        <w:t>9.2.</w:t>
      </w:r>
      <w:r>
        <w:rPr>
          <w:rFonts w:hint="eastAsia" w:ascii="Times New Roman" w:hAnsi="Times New Roman" w:cs="Times New Roman"/>
          <w:b/>
          <w:sz w:val="24"/>
          <w:lang w:val="en-US" w:eastAsia="zh-CN"/>
        </w:rPr>
        <w:t>3</w:t>
      </w:r>
      <w:r>
        <w:rPr>
          <w:rFonts w:ascii="Times New Roman" w:hAnsi="Times New Roman" w:eastAsia="宋体" w:cs="Times New Roman"/>
          <w:b/>
          <w:sz w:val="24"/>
        </w:rPr>
        <w:t>污染物排放总量核算</w:t>
      </w:r>
    </w:p>
    <w:p>
      <w:pPr>
        <w:snapToGrid w:val="0"/>
        <w:spacing w:line="360" w:lineRule="auto"/>
        <w:ind w:firstLine="480" w:firstLineChars="200"/>
        <w:rPr>
          <w:rFonts w:ascii="Times New Roman" w:hAnsi="Times New Roman" w:cs="Times New Roman"/>
          <w:sz w:val="24"/>
          <w:highlight w:val="none"/>
        </w:rPr>
      </w:pPr>
      <w:r>
        <w:rPr>
          <w:rFonts w:ascii="Times New Roman" w:hAnsi="Times New Roman" w:cs="Times New Roman"/>
          <w:sz w:val="24"/>
        </w:rPr>
        <w:t>根据验收监测结果，核算本项目主要污染物排放总量：COD、氨氮总量分别为0.118t/a及0.008t/a，均符合环评批复中总量控制指标要求</w:t>
      </w:r>
      <w:r>
        <w:rPr>
          <w:rFonts w:ascii="Times New Roman" w:hAnsi="Times New Roman" w:cs="Times New Roman"/>
          <w:sz w:val="24"/>
          <w:highlight w:val="none"/>
        </w:rPr>
        <w:t>。主要污染物排放总量统计结果见表9.2-</w:t>
      </w:r>
      <w:r>
        <w:rPr>
          <w:rFonts w:hint="eastAsia" w:ascii="Times New Roman" w:hAnsi="Times New Roman" w:cs="Times New Roman"/>
          <w:sz w:val="24"/>
          <w:highlight w:val="none"/>
        </w:rPr>
        <w:t>5</w:t>
      </w:r>
      <w:r>
        <w:rPr>
          <w:rFonts w:ascii="Times New Roman" w:hAnsi="Times New Roman" w:cs="Times New Roman"/>
          <w:sz w:val="24"/>
          <w:highlight w:val="none"/>
        </w:rPr>
        <w:t>。</w:t>
      </w:r>
    </w:p>
    <w:p>
      <w:pPr>
        <w:pStyle w:val="11"/>
        <w:spacing w:before="120" w:after="120"/>
        <w:rPr>
          <w:rFonts w:ascii="Times New Roman" w:hAnsi="Times New Roman" w:eastAsia="宋体" w:cs="Times New Roman"/>
          <w:b/>
          <w:bCs/>
          <w:highlight w:val="none"/>
        </w:rPr>
      </w:pPr>
      <w:r>
        <w:rPr>
          <w:rFonts w:ascii="Times New Roman" w:hAnsi="Times New Roman" w:eastAsia="宋体" w:cs="Times New Roman"/>
          <w:b/>
          <w:bCs/>
          <w:highlight w:val="none"/>
        </w:rPr>
        <w:t>表9.2-</w:t>
      </w:r>
      <w:r>
        <w:rPr>
          <w:rFonts w:hint="eastAsia" w:ascii="Times New Roman" w:hAnsi="Times New Roman" w:eastAsia="宋体" w:cs="Times New Roman"/>
          <w:b/>
          <w:bCs/>
          <w:highlight w:val="none"/>
        </w:rPr>
        <w:t>5</w:t>
      </w:r>
      <w:r>
        <w:rPr>
          <w:rFonts w:ascii="Times New Roman" w:hAnsi="Times New Roman" w:eastAsia="宋体" w:cs="Times New Roman"/>
          <w:b/>
          <w:bCs/>
          <w:highlight w:val="none"/>
        </w:rPr>
        <w:t xml:space="preserve">  污染物排放总量统计结果   单位：t/a</w:t>
      </w:r>
    </w:p>
    <w:tbl>
      <w:tblPr>
        <w:tblStyle w:val="27"/>
        <w:tblW w:w="8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76"/>
        <w:gridCol w:w="1105"/>
        <w:gridCol w:w="1663"/>
        <w:gridCol w:w="1586"/>
        <w:gridCol w:w="1560"/>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rPr>
        <w:tc>
          <w:tcPr>
            <w:tcW w:w="1076" w:type="dxa"/>
            <w:vAlign w:val="center"/>
          </w:tcPr>
          <w:p>
            <w:pPr>
              <w:tabs>
                <w:tab w:val="left" w:pos="2430"/>
              </w:tabs>
              <w:snapToGrid w:val="0"/>
              <w:ind w:left="-27" w:leftChars="-13" w:right="-38" w:rightChars="-18"/>
              <w:jc w:val="center"/>
              <w:rPr>
                <w:rFonts w:ascii="Times New Roman" w:hAnsi="Times New Roman" w:cs="Times New Roman"/>
                <w:szCs w:val="21"/>
                <w:highlight w:val="none"/>
              </w:rPr>
            </w:pPr>
            <w:r>
              <w:rPr>
                <w:rFonts w:ascii="Times New Roman" w:hAnsi="Times New Roman" w:cs="Times New Roman"/>
                <w:szCs w:val="21"/>
                <w:highlight w:val="none"/>
              </w:rPr>
              <w:t>污染物类型</w:t>
            </w:r>
          </w:p>
        </w:tc>
        <w:tc>
          <w:tcPr>
            <w:tcW w:w="1105" w:type="dxa"/>
            <w:vAlign w:val="center"/>
          </w:tcPr>
          <w:p>
            <w:pPr>
              <w:tabs>
                <w:tab w:val="left" w:pos="2430"/>
              </w:tabs>
              <w:snapToGrid w:val="0"/>
              <w:ind w:left="-53" w:leftChars="-25" w:right="-50" w:rightChars="-24"/>
              <w:jc w:val="center"/>
              <w:rPr>
                <w:rFonts w:ascii="Times New Roman" w:hAnsi="Times New Roman" w:cs="Times New Roman"/>
                <w:szCs w:val="21"/>
                <w:highlight w:val="none"/>
              </w:rPr>
            </w:pPr>
            <w:r>
              <w:rPr>
                <w:rFonts w:ascii="Times New Roman" w:hAnsi="Times New Roman" w:cs="Times New Roman"/>
                <w:szCs w:val="21"/>
                <w:highlight w:val="none"/>
              </w:rPr>
              <w:t>污染物</w:t>
            </w:r>
          </w:p>
        </w:tc>
        <w:tc>
          <w:tcPr>
            <w:tcW w:w="1663" w:type="dxa"/>
            <w:tcBorders>
              <w:right w:val="single" w:color="auto" w:sz="2" w:space="0"/>
            </w:tcBorders>
            <w:vAlign w:val="center"/>
          </w:tcPr>
          <w:p>
            <w:pPr>
              <w:tabs>
                <w:tab w:val="left" w:pos="2430"/>
              </w:tabs>
              <w:snapToGrid w:val="0"/>
              <w:ind w:left="-50" w:leftChars="-24" w:right="-50" w:rightChars="-24"/>
              <w:jc w:val="center"/>
              <w:rPr>
                <w:rFonts w:ascii="Times New Roman" w:hAnsi="Times New Roman" w:cs="Times New Roman"/>
                <w:szCs w:val="21"/>
                <w:highlight w:val="none"/>
              </w:rPr>
            </w:pPr>
            <w:r>
              <w:rPr>
                <w:rFonts w:ascii="Times New Roman" w:hAnsi="Times New Roman" w:cs="Times New Roman"/>
                <w:szCs w:val="21"/>
                <w:highlight w:val="none"/>
              </w:rPr>
              <w:t>实际排放量</w:t>
            </w:r>
          </w:p>
        </w:tc>
        <w:tc>
          <w:tcPr>
            <w:tcW w:w="1586" w:type="dxa"/>
            <w:tcBorders>
              <w:left w:val="single" w:color="auto" w:sz="2" w:space="0"/>
            </w:tcBorders>
            <w:vAlign w:val="center"/>
          </w:tcPr>
          <w:p>
            <w:pPr>
              <w:tabs>
                <w:tab w:val="left" w:pos="2430"/>
              </w:tabs>
              <w:snapToGrid w:val="0"/>
              <w:ind w:left="-50" w:leftChars="-24" w:right="-50" w:rightChars="-24"/>
              <w:jc w:val="center"/>
              <w:rPr>
                <w:rFonts w:ascii="Times New Roman" w:hAnsi="Times New Roman" w:cs="Times New Roman"/>
                <w:szCs w:val="21"/>
                <w:highlight w:val="none"/>
              </w:rPr>
            </w:pPr>
            <w:r>
              <w:rPr>
                <w:rFonts w:ascii="Times New Roman" w:hAnsi="Times New Roman" w:cs="Times New Roman"/>
                <w:szCs w:val="21"/>
                <w:highlight w:val="none"/>
              </w:rPr>
              <w:t>环境影响报告书预测值</w:t>
            </w:r>
          </w:p>
        </w:tc>
        <w:tc>
          <w:tcPr>
            <w:tcW w:w="1560" w:type="dxa"/>
            <w:vAlign w:val="center"/>
          </w:tcPr>
          <w:p>
            <w:pPr>
              <w:tabs>
                <w:tab w:val="left" w:pos="2430"/>
              </w:tabs>
              <w:snapToGrid w:val="0"/>
              <w:ind w:left="-50" w:leftChars="-24" w:right="-50" w:rightChars="-24"/>
              <w:jc w:val="center"/>
              <w:rPr>
                <w:rFonts w:ascii="Times New Roman" w:hAnsi="Times New Roman" w:cs="Times New Roman"/>
                <w:szCs w:val="21"/>
                <w:highlight w:val="none"/>
              </w:rPr>
            </w:pPr>
            <w:r>
              <w:rPr>
                <w:rFonts w:ascii="Times New Roman" w:hAnsi="Times New Roman" w:cs="Times New Roman"/>
                <w:szCs w:val="21"/>
                <w:highlight w:val="none"/>
              </w:rPr>
              <w:t>总量控制指标</w:t>
            </w:r>
          </w:p>
        </w:tc>
        <w:tc>
          <w:tcPr>
            <w:tcW w:w="1455" w:type="dxa"/>
            <w:vAlign w:val="center"/>
          </w:tcPr>
          <w:p>
            <w:pPr>
              <w:tabs>
                <w:tab w:val="left" w:pos="2430"/>
              </w:tabs>
              <w:snapToGrid w:val="0"/>
              <w:ind w:left="-50" w:leftChars="-24" w:right="-50" w:rightChars="-24"/>
              <w:jc w:val="center"/>
              <w:rPr>
                <w:rFonts w:ascii="Times New Roman" w:hAnsi="Times New Roman" w:cs="Times New Roman"/>
                <w:szCs w:val="21"/>
                <w:highlight w:val="none"/>
              </w:rPr>
            </w:pPr>
            <w:r>
              <w:rPr>
                <w:rFonts w:ascii="Times New Roman" w:hAnsi="Times New Roman" w:cs="Times New Roman"/>
                <w:szCs w:val="21"/>
                <w:highlight w:val="none"/>
              </w:rPr>
              <w:t>是否满足要求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rPr>
        <w:tc>
          <w:tcPr>
            <w:tcW w:w="1076" w:type="dxa"/>
            <w:vMerge w:val="restart"/>
            <w:vAlign w:val="center"/>
          </w:tcPr>
          <w:p>
            <w:pPr>
              <w:tabs>
                <w:tab w:val="left" w:pos="2430"/>
              </w:tabs>
              <w:snapToGrid w:val="0"/>
              <w:jc w:val="center"/>
              <w:rPr>
                <w:rFonts w:ascii="Times New Roman" w:hAnsi="Times New Roman" w:cs="Times New Roman"/>
                <w:szCs w:val="21"/>
                <w:highlight w:val="none"/>
              </w:rPr>
            </w:pPr>
            <w:r>
              <w:rPr>
                <w:rFonts w:ascii="Times New Roman" w:hAnsi="Times New Roman" w:cs="Times New Roman"/>
                <w:szCs w:val="21"/>
                <w:highlight w:val="none"/>
              </w:rPr>
              <w:t>废水</w:t>
            </w:r>
          </w:p>
        </w:tc>
        <w:tc>
          <w:tcPr>
            <w:tcW w:w="1105" w:type="dxa"/>
            <w:vAlign w:val="center"/>
          </w:tcPr>
          <w:p>
            <w:pPr>
              <w:snapToGrid w:val="0"/>
              <w:jc w:val="center"/>
              <w:rPr>
                <w:rFonts w:ascii="Times New Roman" w:hAnsi="Times New Roman" w:cs="Times New Roman"/>
                <w:highlight w:val="none"/>
              </w:rPr>
            </w:pPr>
            <w:r>
              <w:rPr>
                <w:rFonts w:ascii="Times New Roman" w:hAnsi="Times New Roman" w:cs="Times New Roman"/>
                <w:highlight w:val="none"/>
              </w:rPr>
              <w:t>COD</w:t>
            </w:r>
          </w:p>
        </w:tc>
        <w:tc>
          <w:tcPr>
            <w:tcW w:w="1663" w:type="dxa"/>
            <w:tcBorders>
              <w:right w:val="single" w:color="auto" w:sz="2" w:space="0"/>
            </w:tcBorders>
            <w:vAlign w:val="center"/>
          </w:tcPr>
          <w:p>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2.65</w:t>
            </w:r>
          </w:p>
        </w:tc>
        <w:tc>
          <w:tcPr>
            <w:tcW w:w="1586" w:type="dxa"/>
            <w:tcBorders>
              <w:left w:val="single" w:color="auto" w:sz="2" w:space="0"/>
            </w:tcBorders>
            <w:vAlign w:val="center"/>
          </w:tcPr>
          <w:p>
            <w:pPr>
              <w:snapToGrid w:val="0"/>
              <w:jc w:val="center"/>
              <w:rPr>
                <w:rFonts w:hint="eastAsia"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64.6</w:t>
            </w:r>
          </w:p>
        </w:tc>
        <w:tc>
          <w:tcPr>
            <w:tcW w:w="1560" w:type="dxa"/>
            <w:vAlign w:val="center"/>
          </w:tcPr>
          <w:p>
            <w:pPr>
              <w:snapToGrid w:val="0"/>
              <w:jc w:val="center"/>
              <w:rPr>
                <w:rFonts w:ascii="Times New Roman" w:hAnsi="Times New Roman" w:cs="Times New Roman"/>
                <w:highlight w:val="none"/>
              </w:rPr>
            </w:pPr>
            <w:r>
              <w:rPr>
                <w:rFonts w:hint="eastAsia" w:ascii="Times New Roman" w:hAnsi="Times New Roman" w:cs="Times New Roman"/>
                <w:highlight w:val="none"/>
                <w:lang w:val="en-US" w:eastAsia="zh-CN"/>
              </w:rPr>
              <w:t>64.6</w:t>
            </w:r>
          </w:p>
        </w:tc>
        <w:tc>
          <w:tcPr>
            <w:tcW w:w="1455" w:type="dxa"/>
            <w:vAlign w:val="center"/>
          </w:tcPr>
          <w:p>
            <w:pPr>
              <w:snapToGrid w:val="0"/>
              <w:jc w:val="center"/>
              <w:rPr>
                <w:rFonts w:ascii="Times New Roman" w:hAnsi="Times New Roman" w:cs="Times New Roman"/>
                <w:highlight w:val="none"/>
              </w:rPr>
            </w:pPr>
            <w:r>
              <w:rPr>
                <w:rFonts w:ascii="Times New Roman" w:hAnsi="Times New Roman" w:cs="Times New Roman"/>
                <w:szCs w:val="21"/>
                <w:highlight w:val="non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rPr>
        <w:tc>
          <w:tcPr>
            <w:tcW w:w="1076" w:type="dxa"/>
            <w:vMerge w:val="continue"/>
            <w:vAlign w:val="center"/>
          </w:tcPr>
          <w:p>
            <w:pPr>
              <w:tabs>
                <w:tab w:val="left" w:pos="2430"/>
              </w:tabs>
              <w:snapToGrid w:val="0"/>
              <w:jc w:val="center"/>
              <w:rPr>
                <w:rFonts w:ascii="Times New Roman" w:hAnsi="Times New Roman" w:cs="Times New Roman"/>
                <w:szCs w:val="21"/>
                <w:highlight w:val="none"/>
              </w:rPr>
            </w:pPr>
          </w:p>
        </w:tc>
        <w:tc>
          <w:tcPr>
            <w:tcW w:w="1105" w:type="dxa"/>
            <w:vAlign w:val="center"/>
          </w:tcPr>
          <w:p>
            <w:pPr>
              <w:snapToGrid w:val="0"/>
              <w:jc w:val="center"/>
              <w:rPr>
                <w:rFonts w:ascii="Times New Roman" w:hAnsi="Times New Roman" w:cs="Times New Roman"/>
                <w:highlight w:val="none"/>
              </w:rPr>
            </w:pPr>
            <w:r>
              <w:rPr>
                <w:rFonts w:ascii="Times New Roman" w:hAnsi="Times New Roman" w:cs="Times New Roman"/>
                <w:highlight w:val="none"/>
              </w:rPr>
              <w:t>氨氮</w:t>
            </w:r>
          </w:p>
        </w:tc>
        <w:tc>
          <w:tcPr>
            <w:tcW w:w="1663" w:type="dxa"/>
            <w:tcBorders>
              <w:right w:val="single" w:color="auto" w:sz="2" w:space="0"/>
            </w:tcBorders>
            <w:vAlign w:val="center"/>
          </w:tcPr>
          <w:p>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0.024</w:t>
            </w:r>
          </w:p>
        </w:tc>
        <w:tc>
          <w:tcPr>
            <w:tcW w:w="1586" w:type="dxa"/>
            <w:tcBorders>
              <w:left w:val="single" w:color="auto" w:sz="2" w:space="0"/>
            </w:tcBorders>
            <w:vAlign w:val="center"/>
          </w:tcPr>
          <w:p>
            <w:pPr>
              <w:snapToGrid w:val="0"/>
              <w:jc w:val="center"/>
              <w:rPr>
                <w:rFonts w:hint="eastAsia"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5.3</w:t>
            </w:r>
          </w:p>
        </w:tc>
        <w:tc>
          <w:tcPr>
            <w:tcW w:w="1560" w:type="dxa"/>
            <w:vAlign w:val="center"/>
          </w:tcPr>
          <w:p>
            <w:pPr>
              <w:snapToGrid w:val="0"/>
              <w:jc w:val="center"/>
              <w:rPr>
                <w:rFonts w:ascii="Times New Roman" w:hAnsi="Times New Roman" w:cs="Times New Roman"/>
                <w:highlight w:val="none"/>
              </w:rPr>
            </w:pPr>
            <w:r>
              <w:rPr>
                <w:rFonts w:hint="eastAsia" w:ascii="Times New Roman" w:hAnsi="Times New Roman" w:cs="Times New Roman"/>
                <w:highlight w:val="none"/>
                <w:lang w:val="en-US" w:eastAsia="zh-CN"/>
              </w:rPr>
              <w:t>5.3</w:t>
            </w:r>
          </w:p>
        </w:tc>
        <w:tc>
          <w:tcPr>
            <w:tcW w:w="1455" w:type="dxa"/>
            <w:vAlign w:val="center"/>
          </w:tcPr>
          <w:p>
            <w:pPr>
              <w:snapToGrid w:val="0"/>
              <w:jc w:val="center"/>
              <w:rPr>
                <w:rFonts w:ascii="Times New Roman" w:hAnsi="Times New Roman" w:cs="Times New Roman"/>
                <w:highlight w:val="none"/>
              </w:rPr>
            </w:pPr>
            <w:r>
              <w:rPr>
                <w:rFonts w:ascii="Times New Roman" w:hAnsi="Times New Roman" w:cs="Times New Roman"/>
                <w:szCs w:val="21"/>
                <w:highlight w:val="none"/>
              </w:rPr>
              <w:t>满足</w:t>
            </w:r>
          </w:p>
        </w:tc>
      </w:tr>
    </w:tbl>
    <w:p>
      <w:pPr>
        <w:pStyle w:val="2"/>
        <w:spacing w:line="360" w:lineRule="auto"/>
        <w:ind w:left="0" w:leftChars="0" w:firstLine="0" w:firstLineChars="0"/>
        <w:rPr>
          <w:rFonts w:hint="eastAsia" w:ascii="Times New Roman" w:hAnsi="Times New Roman" w:cs="Times New Roman"/>
          <w:sz w:val="24"/>
          <w:szCs w:val="20"/>
          <w:lang w:val="en-US" w:eastAsia="zh-CN"/>
        </w:rPr>
      </w:pPr>
    </w:p>
    <w:p>
      <w:pPr>
        <w:pStyle w:val="2"/>
        <w:spacing w:line="360" w:lineRule="auto"/>
        <w:ind w:left="0" w:leftChars="0" w:firstLine="0" w:firstLineChars="0"/>
        <w:rPr>
          <w:rFonts w:hint="eastAsia"/>
          <w:lang w:val="en-US" w:eastAsia="zh-CN"/>
        </w:rPr>
      </w:pPr>
    </w:p>
    <w:p>
      <w:pPr>
        <w:rPr>
          <w:rFonts w:hint="eastAsia"/>
          <w:lang w:val="en-US" w:eastAsia="zh-CN"/>
        </w:rPr>
      </w:pPr>
    </w:p>
    <w:p>
      <w:pPr>
        <w:spacing w:line="360" w:lineRule="auto"/>
        <w:ind w:firstLine="562" w:firstLineChars="200"/>
        <w:rPr>
          <w:rStyle w:val="47"/>
          <w:rFonts w:cs="Times New Roman"/>
          <w:b/>
          <w:bCs/>
          <w:sz w:val="28"/>
          <w:szCs w:val="28"/>
        </w:rPr>
      </w:pPr>
      <w:r>
        <w:rPr>
          <w:rStyle w:val="47"/>
          <w:rFonts w:cs="Times New Roman"/>
          <w:b/>
          <w:bCs/>
          <w:sz w:val="28"/>
          <w:szCs w:val="28"/>
        </w:rPr>
        <w:br w:type="page"/>
      </w:r>
    </w:p>
    <w:p>
      <w:pPr>
        <w:pStyle w:val="4"/>
        <w:spacing w:before="0"/>
        <w:jc w:val="both"/>
        <w:rPr>
          <w:rFonts w:cs="Times New Roman"/>
          <w:sz w:val="28"/>
          <w:szCs w:val="28"/>
        </w:rPr>
      </w:pPr>
      <w:bookmarkStart w:id="226" w:name="_Toc7211"/>
      <w:r>
        <w:rPr>
          <w:rStyle w:val="47"/>
          <w:rFonts w:cs="Times New Roman"/>
          <w:b/>
          <w:bCs/>
          <w:sz w:val="28"/>
          <w:szCs w:val="28"/>
        </w:rPr>
        <w:t>10 环境管理检查结果</w:t>
      </w:r>
      <w:bookmarkEnd w:id="225"/>
      <w:bookmarkEnd w:id="226"/>
    </w:p>
    <w:p>
      <w:pPr>
        <w:pStyle w:val="5"/>
        <w:rPr>
          <w:rFonts w:ascii="Times New Roman" w:hAnsi="Times New Roman" w:cs="Times New Roman"/>
          <w:sz w:val="24"/>
          <w:szCs w:val="24"/>
        </w:rPr>
      </w:pPr>
      <w:bookmarkStart w:id="227" w:name="_Toc406660980"/>
      <w:bookmarkStart w:id="228" w:name="_Toc24670"/>
      <w:r>
        <w:rPr>
          <w:rFonts w:ascii="Times New Roman" w:hAnsi="Times New Roman" w:cs="Times New Roman"/>
          <w:sz w:val="24"/>
          <w:szCs w:val="24"/>
        </w:rPr>
        <w:t>10.1环评及其批复落实情况</w:t>
      </w:r>
      <w:bookmarkEnd w:id="227"/>
      <w:bookmarkEnd w:id="228"/>
    </w:p>
    <w:p>
      <w:pPr>
        <w:spacing w:line="360" w:lineRule="auto"/>
        <w:ind w:firstLine="480" w:firstLineChars="200"/>
        <w:rPr>
          <w:rFonts w:ascii="Times New Roman" w:hAnsi="Times New Roman" w:cs="Times New Roman"/>
          <w:sz w:val="24"/>
        </w:rPr>
      </w:pPr>
      <w:r>
        <w:rPr>
          <w:rFonts w:ascii="Times New Roman" w:hAnsi="Times New Roman" w:cs="Times New Roman"/>
          <w:sz w:val="24"/>
        </w:rPr>
        <w:t>本项目环评及批复要求以及落实情况见表10.1-1。</w:t>
      </w:r>
    </w:p>
    <w:p>
      <w:pPr>
        <w:pStyle w:val="5"/>
        <w:rPr>
          <w:rFonts w:ascii="Times New Roman" w:hAnsi="Times New Roman" w:cs="Times New Roman"/>
          <w:sz w:val="24"/>
          <w:szCs w:val="24"/>
        </w:rPr>
      </w:pPr>
      <w:bookmarkStart w:id="229" w:name="_Toc5539"/>
      <w:bookmarkStart w:id="230" w:name="_Toc406660981"/>
      <w:r>
        <w:rPr>
          <w:rFonts w:ascii="Times New Roman" w:hAnsi="Times New Roman" w:cs="Times New Roman"/>
          <w:sz w:val="24"/>
          <w:szCs w:val="24"/>
        </w:rPr>
        <w:t>10.2环境保护法律法规执行情况</w:t>
      </w:r>
      <w:bookmarkEnd w:id="229"/>
      <w:bookmarkEnd w:id="230"/>
    </w:p>
    <w:p>
      <w:pPr>
        <w:spacing w:line="360" w:lineRule="auto"/>
        <w:ind w:firstLine="480" w:firstLineChars="200"/>
        <w:rPr>
          <w:rFonts w:ascii="Times New Roman" w:hAnsi="Times New Roman" w:cs="Times New Roman"/>
          <w:sz w:val="24"/>
        </w:rPr>
      </w:pPr>
      <w:r>
        <w:rPr>
          <w:rFonts w:ascii="Times New Roman" w:hAnsi="Times New Roman" w:cs="Times New Roman"/>
          <w:sz w:val="24"/>
        </w:rPr>
        <w:t>该公司按相关法律法规要求进行了环境影响评价，环保审批手续较齐全，</w:t>
      </w:r>
      <w:r>
        <w:rPr>
          <w:rFonts w:hint="eastAsia" w:ascii="Times New Roman" w:hAnsi="Times New Roman" w:cs="Times New Roman"/>
          <w:sz w:val="24"/>
          <w:lang w:eastAsia="zh-CN"/>
        </w:rPr>
        <w:t>除未安装生物除臭装置外，</w:t>
      </w:r>
      <w:r>
        <w:rPr>
          <w:rFonts w:ascii="Times New Roman" w:hAnsi="Times New Roman" w:cs="Times New Roman"/>
          <w:sz w:val="24"/>
        </w:rPr>
        <w:t>本项目配套的</w:t>
      </w:r>
      <w:r>
        <w:rPr>
          <w:rFonts w:hint="eastAsia" w:ascii="Times New Roman" w:hAnsi="Times New Roman" w:cs="Times New Roman"/>
          <w:sz w:val="24"/>
          <w:lang w:eastAsia="zh-CN"/>
        </w:rPr>
        <w:t>其他</w:t>
      </w:r>
      <w:r>
        <w:rPr>
          <w:rFonts w:ascii="Times New Roman" w:hAnsi="Times New Roman" w:cs="Times New Roman"/>
          <w:sz w:val="24"/>
        </w:rPr>
        <w:t>环保设施与主体工程基本做到同时设计、同时施工、同时投入使用的 “三同时”制度。</w:t>
      </w:r>
    </w:p>
    <w:p>
      <w:pPr>
        <w:pStyle w:val="5"/>
        <w:rPr>
          <w:rFonts w:ascii="Times New Roman" w:hAnsi="Times New Roman" w:cs="Times New Roman"/>
          <w:sz w:val="24"/>
          <w:szCs w:val="24"/>
        </w:rPr>
      </w:pPr>
      <w:bookmarkStart w:id="231" w:name="_Toc16678"/>
      <w:bookmarkStart w:id="232" w:name="_Toc406660982"/>
      <w:r>
        <w:rPr>
          <w:rFonts w:ascii="Times New Roman" w:hAnsi="Times New Roman" w:cs="Times New Roman"/>
          <w:sz w:val="24"/>
          <w:szCs w:val="24"/>
        </w:rPr>
        <w:t>10.3环保设施运行及维护情况</w:t>
      </w:r>
      <w:bookmarkEnd w:id="231"/>
      <w:bookmarkEnd w:id="232"/>
    </w:p>
    <w:p>
      <w:pPr>
        <w:snapToGrid w:val="0"/>
        <w:spacing w:line="360" w:lineRule="auto"/>
        <w:ind w:firstLine="480" w:firstLineChars="200"/>
        <w:rPr>
          <w:rFonts w:ascii="Times New Roman" w:hAnsi="Times New Roman" w:cs="Times New Roman"/>
          <w:sz w:val="24"/>
        </w:rPr>
        <w:sectPr>
          <w:headerReference r:id="rId18"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cs="Times New Roman"/>
          <w:sz w:val="24"/>
        </w:rPr>
        <w:t>本项目配套的环保设施自投运至今，运行记录齐全。环保设备的日常维护、维修由专人负责，每年的设备维修计划均包括环保设备的维修、维护保养及年检方案。该公司对环保设备明确了各设备的设备管理人。</w:t>
      </w:r>
    </w:p>
    <w:p>
      <w:pPr>
        <w:jc w:val="center"/>
        <w:rPr>
          <w:rFonts w:ascii="Times New Roman" w:hAnsi="Times New Roman" w:cs="Times New Roman"/>
          <w:b/>
          <w:sz w:val="24"/>
        </w:rPr>
      </w:pPr>
      <w:r>
        <w:rPr>
          <w:rFonts w:ascii="Times New Roman" w:hAnsi="Times New Roman" w:cs="Times New Roman"/>
          <w:b/>
          <w:sz w:val="24"/>
        </w:rPr>
        <w:t>表10.1-1  项目落实环评及其批复情况一览表</w:t>
      </w:r>
    </w:p>
    <w:tbl>
      <w:tblPr>
        <w:tblStyle w:val="27"/>
        <w:tblW w:w="14174"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77"/>
        <w:gridCol w:w="5570"/>
        <w:gridCol w:w="6615"/>
        <w:gridCol w:w="101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50" w:hRule="atLeast"/>
          <w:jc w:val="center"/>
        </w:trPr>
        <w:tc>
          <w:tcPr>
            <w:tcW w:w="977" w:type="dxa"/>
            <w:vAlign w:val="center"/>
          </w:tcPr>
          <w:p>
            <w:pPr>
              <w:jc w:val="center"/>
              <w:rPr>
                <w:rFonts w:ascii="Times New Roman" w:hAnsi="Times New Roman" w:cs="Times New Roman"/>
                <w:szCs w:val="21"/>
              </w:rPr>
            </w:pPr>
            <w:r>
              <w:rPr>
                <w:rFonts w:ascii="Times New Roman" w:hAnsi="Times New Roman" w:cs="Times New Roman"/>
                <w:szCs w:val="21"/>
              </w:rPr>
              <w:t>项目</w:t>
            </w:r>
          </w:p>
        </w:tc>
        <w:tc>
          <w:tcPr>
            <w:tcW w:w="5570" w:type="dxa"/>
            <w:vAlign w:val="center"/>
          </w:tcPr>
          <w:p>
            <w:pPr>
              <w:jc w:val="center"/>
              <w:rPr>
                <w:rFonts w:ascii="Times New Roman" w:hAnsi="Times New Roman" w:cs="Times New Roman"/>
                <w:szCs w:val="21"/>
              </w:rPr>
            </w:pPr>
            <w:r>
              <w:rPr>
                <w:rFonts w:ascii="Times New Roman" w:hAnsi="Times New Roman" w:cs="Times New Roman"/>
                <w:szCs w:val="21"/>
              </w:rPr>
              <w:t>环评及其批复要求</w:t>
            </w:r>
          </w:p>
        </w:tc>
        <w:tc>
          <w:tcPr>
            <w:tcW w:w="6615" w:type="dxa"/>
            <w:tcBorders>
              <w:left w:val="single" w:color="auto" w:sz="4" w:space="0"/>
              <w:right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实际建设（落实）情况</w:t>
            </w:r>
          </w:p>
        </w:tc>
        <w:tc>
          <w:tcPr>
            <w:tcW w:w="1012" w:type="dxa"/>
            <w:tcBorders>
              <w:left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废气</w:t>
            </w:r>
          </w:p>
        </w:tc>
        <w:tc>
          <w:tcPr>
            <w:tcW w:w="5570" w:type="dxa"/>
            <w:vAlign w:val="center"/>
          </w:tcPr>
          <w:p>
            <w:pPr>
              <w:spacing w:line="360" w:lineRule="auto"/>
              <w:ind w:firstLine="420" w:firstLineChars="200"/>
              <w:rPr>
                <w:rFonts w:ascii="Times New Roman" w:hAnsi="Times New Roman" w:eastAsia="宋体" w:cs="Times New Roman"/>
                <w:szCs w:val="21"/>
              </w:rPr>
            </w:pPr>
            <w:r>
              <w:rPr>
                <w:rFonts w:ascii="Times New Roman" w:hAnsi="Times New Roman" w:cs="Times New Roman"/>
                <w:szCs w:val="21"/>
              </w:rPr>
              <w:t>环评批复要求：</w:t>
            </w:r>
            <w:r>
              <w:rPr>
                <w:rFonts w:hint="eastAsia" w:ascii="Times New Roman" w:hAnsi="Times New Roman" w:cs="Times New Roman"/>
                <w:szCs w:val="21"/>
                <w:lang w:eastAsia="zh-CN"/>
              </w:rPr>
              <w:t>根据厂区实际产臭单元，要求设施</w:t>
            </w:r>
            <w:r>
              <w:rPr>
                <w:rFonts w:hint="eastAsia" w:ascii="Times New Roman" w:hAnsi="Times New Roman" w:cs="Times New Roman"/>
                <w:szCs w:val="21"/>
                <w:lang w:val="en-US" w:eastAsia="zh-CN"/>
              </w:rPr>
              <w:t>1台生物除臭装置，并设置一根15m高排气筒。针对所有产生恶臭的处理单元，对各处理单元进行封闭处理，对SBR池、污泥浓缩池等有恶臭气体排出的构建筑物进行加盖密封，各个密封构筑物在风机抽吸作用下形成微负压，各个构筑物产生的恶臭气体被引入生物除臭装置进行处理，处理后的废气经15m高排气筒排放，应满足《恶臭污染物排放标准》（GB14554-93）中厂界二级标准和恶臭污染物排放标准值；同时，加强绿化，在厂区的污水、污泥生产区周围设置绿化隔离带，组成防臭的多层隔离带，尽量降低恶臭污染的影响。</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cs="Times New Roman"/>
                <w:szCs w:val="21"/>
              </w:rPr>
            </w:pPr>
            <w:r>
              <w:rPr>
                <w:rFonts w:ascii="Times New Roman" w:hAnsi="Times New Roman" w:cs="Times New Roman"/>
                <w:sz w:val="21"/>
                <w:szCs w:val="21"/>
              </w:rPr>
              <w:t xml:space="preserve"> </w:t>
            </w:r>
            <w:r>
              <w:rPr>
                <w:rFonts w:hint="eastAsia" w:ascii="Times New Roman" w:hAnsi="Times New Roman" w:cs="Times New Roman"/>
                <w:szCs w:val="21"/>
                <w:lang w:val="en-US" w:eastAsia="zh-CN"/>
              </w:rPr>
              <w:t>针对所有产生恶臭的处理单元，对各处理单元进行封闭处理，对SBR池、污泥浓缩池等有恶臭气体排出的构建筑物进行加盖密封，无组织排放的废气满足《恶臭污染物排放标准》（GB14554-93）中表1厂界标准限值要求；同时，加强了绿化，在厂区的污水、污泥生产区周围设置绿化隔离带，组成防臭的多层隔离带，尽量降低恶臭污染的影响。</w:t>
            </w:r>
          </w:p>
        </w:tc>
        <w:tc>
          <w:tcPr>
            <w:tcW w:w="1012" w:type="dxa"/>
            <w:tcBorders>
              <w:lef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eastAsia="zh-CN"/>
              </w:rPr>
              <w:t>未设置生物除臭装置及</w:t>
            </w:r>
            <w:r>
              <w:rPr>
                <w:rFonts w:hint="eastAsia" w:ascii="Times New Roman" w:hAnsi="Times New Roman" w:cs="Times New Roman"/>
                <w:szCs w:val="21"/>
                <w:lang w:val="en-US" w:eastAsia="zh-CN"/>
              </w:rPr>
              <w:t>15高排气筒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废水</w:t>
            </w:r>
          </w:p>
        </w:tc>
        <w:tc>
          <w:tcPr>
            <w:tcW w:w="5570" w:type="dxa"/>
            <w:vAlign w:val="center"/>
          </w:tcPr>
          <w:p>
            <w:pPr>
              <w:spacing w:line="360" w:lineRule="auto"/>
              <w:ind w:firstLine="420" w:firstLineChars="200"/>
              <w:rPr>
                <w:rFonts w:hint="eastAsia" w:ascii="Times New Roman" w:hAnsi="Times New Roman" w:cs="Times New Roman"/>
                <w:szCs w:val="21"/>
                <w:lang w:val="en-US" w:eastAsia="zh-CN"/>
              </w:rPr>
            </w:pPr>
            <w:r>
              <w:rPr>
                <w:rFonts w:ascii="Times New Roman" w:hAnsi="Times New Roman" w:cs="Times New Roman"/>
                <w:szCs w:val="21"/>
              </w:rPr>
              <w:t>环评批复要求：</w:t>
            </w:r>
            <w:r>
              <w:rPr>
                <w:rFonts w:hint="eastAsia" w:ascii="Times New Roman" w:hAnsi="Times New Roman" w:cs="Times New Roman"/>
                <w:szCs w:val="21"/>
                <w:lang w:eastAsia="zh-CN"/>
              </w:rPr>
              <w:t>在进入污水处理站的废水中，气化废水、含硫废水及经过混凝沉淀预处理、双醋废水经过中和池预处理，再与其它废水一同进入</w:t>
            </w:r>
            <w:r>
              <w:rPr>
                <w:rFonts w:hint="eastAsia" w:ascii="Times New Roman" w:hAnsi="Times New Roman" w:cs="Times New Roman"/>
                <w:szCs w:val="21"/>
                <w:lang w:val="en-US" w:eastAsia="zh-CN"/>
              </w:rPr>
              <w:t>SBR处理装置。经过处理后的出水水质达到《黄河流域（陕西段）污水综合排放标准》（DB61/224-2011）二级标准及《污水综合排放标准》（GB8978-1996）中三级标准，排入渭南高新区污水处理厂。</w:t>
            </w:r>
          </w:p>
          <w:p>
            <w:pPr>
              <w:spacing w:line="360" w:lineRule="auto"/>
              <w:ind w:firstLine="420" w:firstLineChars="200"/>
              <w:rPr>
                <w:rFonts w:ascii="Times New Roman" w:hAnsi="Times New Roman" w:eastAsia="宋体" w:cs="Times New Roman"/>
                <w:szCs w:val="21"/>
              </w:rPr>
            </w:pPr>
            <w:r>
              <w:rPr>
                <w:rFonts w:hint="eastAsia" w:ascii="Times New Roman" w:hAnsi="Times New Roman" w:cs="Times New Roman"/>
                <w:szCs w:val="21"/>
                <w:lang w:val="en-US" w:eastAsia="zh-CN"/>
              </w:rPr>
              <w:t xml:space="preserve">  中水回用规模为150m3/h，中水的来源是动力车间222A反洗水、供排水车间超滤反洗水、循环水排水、斜管/虹吸滤池排水、斜管沉淀池/D型滤池排水，经过软化预处理和UF+RO膜技术对中水进行回用处理，经过处理后回用。</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1</w:t>
            </w:r>
            <w:r>
              <w:rPr>
                <w:rFonts w:hint="eastAsia" w:ascii="Times New Roman" w:hAnsi="Times New Roman" w:eastAsia="宋体" w:cs="Times New Roman"/>
                <w:szCs w:val="21"/>
                <w:lang w:eastAsia="zh-CN"/>
              </w:rPr>
              <w:t>）</w:t>
            </w:r>
            <w:r>
              <w:rPr>
                <w:rFonts w:hint="eastAsia" w:ascii="Times New Roman" w:hAnsi="Times New Roman" w:cs="Times New Roman"/>
                <w:szCs w:val="21"/>
                <w:lang w:eastAsia="zh-CN"/>
              </w:rPr>
              <w:t>气化废水、含硫废水及经过混凝沉淀预处理、双醋废水经过中和池预处理，再与其它废水一同进入</w:t>
            </w:r>
            <w:r>
              <w:rPr>
                <w:rFonts w:hint="eastAsia" w:ascii="Times New Roman" w:hAnsi="Times New Roman" w:cs="Times New Roman"/>
                <w:szCs w:val="21"/>
                <w:lang w:val="en-US" w:eastAsia="zh-CN"/>
              </w:rPr>
              <w:t>SBR处理装置。经过处理后的出水水质达到《黄河流域（陕西段）污水综合排放标准》（DB61/224-2011）二级标准及《污水综合排放标准》（GB8978-1996）中三级标准，排入渭南高新区污水处理厂。</w:t>
            </w:r>
          </w:p>
          <w:p>
            <w:pPr>
              <w:spacing w:line="360" w:lineRule="auto"/>
              <w:ind w:firstLine="420" w:firstLineChars="200"/>
              <w:rPr>
                <w:rFonts w:ascii="Times New Roman" w:hAnsi="Times New Roman" w:cs="Times New Roman"/>
                <w:szCs w:val="21"/>
              </w:rPr>
            </w:pP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2</w:t>
            </w:r>
            <w:r>
              <w:rPr>
                <w:rFonts w:hint="eastAsia" w:ascii="Times New Roman" w:hAnsi="Times New Roman" w:eastAsia="宋体" w:cs="Times New Roman"/>
                <w:szCs w:val="21"/>
                <w:lang w:eastAsia="zh-CN"/>
              </w:rPr>
              <w:t>）</w:t>
            </w:r>
            <w:r>
              <w:rPr>
                <w:rFonts w:hint="eastAsia" w:ascii="Times New Roman" w:hAnsi="Times New Roman" w:cs="Times New Roman"/>
                <w:szCs w:val="21"/>
                <w:lang w:val="en-US" w:eastAsia="zh-CN"/>
              </w:rPr>
              <w:t>中水经过软化预处理和UF+RO膜技术进行处理，经过处理后回用。</w:t>
            </w:r>
          </w:p>
        </w:tc>
        <w:tc>
          <w:tcPr>
            <w:tcW w:w="1012" w:type="dxa"/>
            <w:tcBorders>
              <w:left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地下水</w:t>
            </w:r>
          </w:p>
        </w:tc>
        <w:tc>
          <w:tcPr>
            <w:tcW w:w="5570" w:type="dxa"/>
            <w:vAlign w:val="center"/>
          </w:tcPr>
          <w:p>
            <w:pPr>
              <w:autoSpaceDE w:val="0"/>
              <w:autoSpaceDN w:val="0"/>
              <w:adjustRightInd w:val="0"/>
              <w:spacing w:line="360" w:lineRule="auto"/>
              <w:ind w:firstLine="482"/>
              <w:jc w:val="left"/>
              <w:rPr>
                <w:rFonts w:ascii="Times New Roman" w:hAnsi="Times New Roman" w:cs="Times New Roman"/>
                <w:szCs w:val="21"/>
              </w:rPr>
            </w:pPr>
            <w:r>
              <w:rPr>
                <w:rFonts w:ascii="Times New Roman" w:hAnsi="Times New Roman" w:cs="Times New Roman"/>
                <w:szCs w:val="21"/>
              </w:rPr>
              <w:t>环评要求：</w:t>
            </w:r>
          </w:p>
          <w:p>
            <w:pPr>
              <w:autoSpaceDE w:val="0"/>
              <w:autoSpaceDN w:val="0"/>
              <w:adjustRightInd w:val="0"/>
              <w:spacing w:line="360" w:lineRule="auto"/>
              <w:ind w:firstLine="482"/>
              <w:jc w:val="left"/>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（1）源头控制措施</w:t>
            </w:r>
          </w:p>
          <w:p>
            <w:pPr>
              <w:autoSpaceDE w:val="0"/>
              <w:autoSpaceDN w:val="0"/>
              <w:adjustRightInd w:val="0"/>
              <w:spacing w:line="360" w:lineRule="auto"/>
              <w:ind w:firstLine="482"/>
              <w:jc w:val="left"/>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本工程选择先进、成熟、可靠的污水处理技术，对处理后的污水排入市政污水管网，并严格按照国家相关规范要求，对工艺、管道、设备、污水储存及处理构筑物采取相应的措施，以防止和降低污染物的跑、冒、滴、漏，将污染物泄漏的环境风险事故降到最低程度。</w:t>
            </w:r>
          </w:p>
          <w:p>
            <w:pPr>
              <w:autoSpaceDE w:val="0"/>
              <w:autoSpaceDN w:val="0"/>
              <w:adjustRightInd w:val="0"/>
              <w:spacing w:line="360" w:lineRule="auto"/>
              <w:ind w:firstLine="482"/>
              <w:jc w:val="left"/>
              <w:rPr>
                <w:rFonts w:ascii="Times New Roman" w:hAnsi="Times New Roman" w:cs="Times New Roman"/>
                <w:szCs w:val="21"/>
              </w:rPr>
            </w:pPr>
            <w:r>
              <w:rPr>
                <w:rFonts w:hint="eastAsia" w:ascii="Times New Roman" w:hAnsi="Times New Roman" w:cs="Times New Roman"/>
                <w:szCs w:val="21"/>
                <w:lang w:val="en-US" w:eastAsia="zh-CN"/>
              </w:rPr>
              <w:t>（2）</w:t>
            </w:r>
            <w:r>
              <w:rPr>
                <w:rFonts w:ascii="Times New Roman" w:hAnsi="Times New Roman" w:cs="Times New Roman"/>
                <w:szCs w:val="21"/>
              </w:rPr>
              <w:t>分区防治措施</w:t>
            </w:r>
          </w:p>
          <w:p>
            <w:pPr>
              <w:autoSpaceDE w:val="0"/>
              <w:autoSpaceDN w:val="0"/>
              <w:adjustRightInd w:val="0"/>
              <w:spacing w:line="360" w:lineRule="auto"/>
              <w:ind w:firstLine="482"/>
              <w:jc w:val="left"/>
              <w:rPr>
                <w:rFonts w:ascii="Times New Roman" w:hAnsi="Times New Roman" w:cs="Times New Roman"/>
                <w:szCs w:val="21"/>
              </w:rPr>
            </w:pPr>
            <w:r>
              <w:rPr>
                <w:rFonts w:ascii="Times New Roman" w:hAnsi="Times New Roman" w:cs="Times New Roman"/>
                <w:szCs w:val="21"/>
              </w:rPr>
              <w:t>对厂区可能泄漏污染物的污染区地面进行防渗设计，及时地将泄漏的污染物进行收集处理，以有效防止洒落地面的污染物渗入地下。</w:t>
            </w:r>
          </w:p>
          <w:p>
            <w:pPr>
              <w:autoSpaceDE w:val="0"/>
              <w:autoSpaceDN w:val="0"/>
              <w:adjustRightInd w:val="0"/>
              <w:spacing w:line="360" w:lineRule="auto"/>
              <w:ind w:firstLine="482"/>
              <w:jc w:val="left"/>
              <w:rPr>
                <w:rFonts w:ascii="Times New Roman" w:hAnsi="Times New Roman" w:cs="Times New Roman"/>
                <w:szCs w:val="21"/>
              </w:rPr>
            </w:pPr>
            <w:r>
              <w:rPr>
                <w:rFonts w:hint="eastAsia" w:ascii="Times New Roman" w:hAnsi="Times New Roman" w:cs="Times New Roman"/>
                <w:szCs w:val="21"/>
                <w:lang w:eastAsia="zh-CN"/>
              </w:rPr>
              <w:t>根</w:t>
            </w:r>
            <w:r>
              <w:rPr>
                <w:rFonts w:ascii="Times New Roman" w:hAnsi="Times New Roman" w:cs="Times New Roman"/>
                <w:szCs w:val="21"/>
              </w:rPr>
              <w:t>据厂区各生产处理功能单位可能泄漏至地面区域的污染物性质和生产单元的构筑方式，将整个污水处理装置区划分为重点污染防治区。</w:t>
            </w:r>
          </w:p>
          <w:p>
            <w:pPr>
              <w:autoSpaceDE w:val="0"/>
              <w:autoSpaceDN w:val="0"/>
              <w:adjustRightInd w:val="0"/>
              <w:spacing w:line="360" w:lineRule="auto"/>
              <w:ind w:firstLine="482"/>
              <w:jc w:val="left"/>
              <w:rPr>
                <w:rFonts w:hint="eastAsia" w:ascii="Times New Roman" w:hAnsi="Times New Roman" w:cs="Times New Roman"/>
                <w:szCs w:val="21"/>
                <w:lang w:val="en-US" w:eastAsia="zh-CN"/>
              </w:rPr>
            </w:pPr>
            <w:r>
              <w:rPr>
                <w:rFonts w:ascii="Times New Roman" w:hAnsi="Times New Roman" w:cs="Times New Roman"/>
                <w:szCs w:val="21"/>
              </w:rPr>
              <w:t>重点污染防治区可参照《危险废物安全填埋处置工程建设技术要求》（国家环保总局2004.4.30颁布试行）、《危险废物填埋场污染控制标准》（GB18598-2001）进行防渗设计。</w:t>
            </w:r>
          </w:p>
          <w:p>
            <w:pPr>
              <w:autoSpaceDE w:val="0"/>
              <w:autoSpaceDN w:val="0"/>
              <w:adjustRightInd w:val="0"/>
              <w:spacing w:line="360" w:lineRule="auto"/>
              <w:ind w:firstLine="482"/>
              <w:jc w:val="left"/>
              <w:rPr>
                <w:rFonts w:ascii="Times New Roman" w:hAnsi="Times New Roman" w:cs="Times New Roman"/>
                <w:szCs w:val="21"/>
              </w:rPr>
            </w:pPr>
          </w:p>
        </w:tc>
        <w:tc>
          <w:tcPr>
            <w:tcW w:w="6615" w:type="dxa"/>
            <w:tcBorders>
              <w:left w:val="single" w:color="auto" w:sz="4" w:space="0"/>
              <w:right w:val="single" w:color="auto" w:sz="4" w:space="0"/>
            </w:tcBorders>
            <w:vAlign w:val="center"/>
          </w:tcPr>
          <w:p>
            <w:pPr>
              <w:autoSpaceDE w:val="0"/>
              <w:autoSpaceDN w:val="0"/>
              <w:adjustRightInd w:val="0"/>
              <w:spacing w:line="360" w:lineRule="auto"/>
              <w:ind w:firstLine="482"/>
              <w:jc w:val="left"/>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选择先进、成熟、可靠的污水处理技术，对处理后的污水排入市政污水管网，并严格按照国家相关规范要求，对工艺、管道、设备、污水储存及处理构筑物采取相应的措施，以防止和降低污染物的跑、冒、滴、漏，将污染物泄漏的环境风险事故降到最低程度。</w:t>
            </w:r>
          </w:p>
          <w:p>
            <w:pPr>
              <w:spacing w:line="360" w:lineRule="auto"/>
              <w:ind w:firstLine="420" w:firstLineChars="200"/>
              <w:rPr>
                <w:rFonts w:hint="eastAsia" w:ascii="Times New Roman" w:hAnsi="Times New Roman" w:eastAsia="宋体" w:cs="Times New Roman"/>
                <w:szCs w:val="21"/>
                <w:lang w:eastAsia="zh-CN"/>
              </w:rPr>
            </w:pPr>
            <w:r>
              <w:rPr>
                <w:rFonts w:ascii="Times New Roman" w:hAnsi="Times New Roman" w:eastAsia="宋体" w:cs="Times New Roman"/>
                <w:szCs w:val="21"/>
              </w:rPr>
              <w:t>对</w:t>
            </w:r>
            <w:r>
              <w:rPr>
                <w:rFonts w:hint="eastAsia" w:ascii="Times New Roman" w:hAnsi="Times New Roman" w:eastAsia="宋体" w:cs="Times New Roman"/>
                <w:szCs w:val="21"/>
                <w:lang w:eastAsia="zh-CN"/>
              </w:rPr>
              <w:t>各处理池</w:t>
            </w:r>
            <w:r>
              <w:rPr>
                <w:rFonts w:ascii="Times New Roman" w:hAnsi="Times New Roman" w:eastAsia="宋体" w:cs="Times New Roman"/>
                <w:szCs w:val="21"/>
              </w:rPr>
              <w:t>进行了硬化和防渗处理</w:t>
            </w:r>
            <w:r>
              <w:rPr>
                <w:rFonts w:hint="eastAsia" w:ascii="Times New Roman" w:hAnsi="Times New Roman" w:cs="Times New Roman"/>
                <w:szCs w:val="21"/>
                <w:lang w:eastAsia="zh-CN"/>
              </w:rPr>
              <w:t>。</w:t>
            </w:r>
          </w:p>
        </w:tc>
        <w:tc>
          <w:tcPr>
            <w:tcW w:w="1012" w:type="dxa"/>
            <w:tcBorders>
              <w:left w:val="single" w:color="auto" w:sz="4" w:space="0"/>
            </w:tcBorders>
            <w:vAlign w:val="center"/>
          </w:tcPr>
          <w:p>
            <w:pPr>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hint="eastAsia" w:ascii="Times New Roman" w:hAnsi="Times New Roman" w:cs="Times New Roman"/>
                <w:szCs w:val="21"/>
                <w:lang w:eastAsia="zh-CN"/>
              </w:rPr>
            </w:pPr>
            <w:r>
              <w:rPr>
                <w:rFonts w:hint="eastAsia" w:ascii="Times New Roman" w:hAnsi="Times New Roman" w:cs="Times New Roman"/>
                <w:szCs w:val="21"/>
                <w:lang w:eastAsia="zh-CN"/>
              </w:rPr>
              <w:t>环境</w:t>
            </w:r>
          </w:p>
          <w:p>
            <w:pPr>
              <w:rPr>
                <w:rFonts w:hint="eastAsia" w:ascii="Times New Roman" w:hAnsi="Times New Roman" w:cs="Times New Roman"/>
                <w:szCs w:val="21"/>
                <w:lang w:eastAsia="zh-CN"/>
              </w:rPr>
            </w:pPr>
            <w:r>
              <w:rPr>
                <w:rFonts w:hint="eastAsia" w:ascii="Times New Roman" w:hAnsi="Times New Roman" w:cs="Times New Roman"/>
                <w:szCs w:val="21"/>
                <w:lang w:eastAsia="zh-CN"/>
              </w:rPr>
              <w:t>管理</w:t>
            </w:r>
          </w:p>
        </w:tc>
        <w:tc>
          <w:tcPr>
            <w:tcW w:w="5570" w:type="dxa"/>
            <w:vAlign w:val="center"/>
          </w:tcPr>
          <w:p>
            <w:pPr>
              <w:autoSpaceDE w:val="0"/>
              <w:autoSpaceDN w:val="0"/>
              <w:adjustRightInd w:val="0"/>
              <w:spacing w:line="360" w:lineRule="auto"/>
              <w:ind w:firstLine="482"/>
              <w:jc w:val="left"/>
              <w:rPr>
                <w:rFonts w:hint="eastAsia" w:eastAsia="宋体"/>
                <w:kern w:val="0"/>
                <w:sz w:val="21"/>
                <w:szCs w:val="21"/>
                <w:lang w:eastAsia="zh-CN"/>
              </w:rPr>
            </w:pPr>
            <w:r>
              <w:rPr>
                <w:rFonts w:ascii="Times New Roman" w:hAnsi="Times New Roman" w:eastAsia="宋体" w:cs="Times New Roman"/>
                <w:szCs w:val="21"/>
              </w:rPr>
              <w:t>采取相关防爆、防雷、防火措施，制定详细的环境风险应急预案，定期进行预案演练，避免风险事故的发生</w:t>
            </w:r>
            <w:r>
              <w:rPr>
                <w:rFonts w:hint="eastAsia" w:ascii="Times New Roman" w:hAnsi="Times New Roman" w:cs="Times New Roman"/>
                <w:szCs w:val="21"/>
                <w:lang w:eastAsia="zh-CN"/>
              </w:rPr>
              <w:t>。</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eastAsia="宋体" w:cs="Times New Roman"/>
                <w:szCs w:val="21"/>
              </w:rPr>
            </w:pPr>
            <w:r>
              <w:rPr>
                <w:rFonts w:ascii="Times New Roman" w:hAnsi="Times New Roman" w:eastAsia="宋体" w:cs="Times New Roman"/>
                <w:szCs w:val="21"/>
              </w:rPr>
              <w:t>制定了详细的环境风险应急预案并定期进行预案演练</w:t>
            </w:r>
            <w:r>
              <w:rPr>
                <w:rFonts w:ascii="Times New Roman" w:hAnsi="Times New Roman" w:cs="Times New Roman"/>
                <w:szCs w:val="21"/>
              </w:rPr>
              <w:t>；</w:t>
            </w:r>
            <w:r>
              <w:rPr>
                <w:rFonts w:ascii="Times New Roman" w:hAnsi="Times New Roman" w:eastAsia="宋体" w:cs="Times New Roman"/>
                <w:szCs w:val="21"/>
              </w:rPr>
              <w:t>采取避让和绿化等有效措施</w:t>
            </w:r>
            <w:r>
              <w:rPr>
                <w:rFonts w:ascii="Times New Roman" w:hAnsi="Times New Roman" w:cs="Times New Roman"/>
                <w:szCs w:val="21"/>
              </w:rPr>
              <w:t>；</w:t>
            </w:r>
            <w:r>
              <w:rPr>
                <w:rFonts w:ascii="Times New Roman" w:hAnsi="Times New Roman" w:eastAsia="宋体" w:cs="Times New Roman"/>
                <w:szCs w:val="21"/>
              </w:rPr>
              <w:t>严格执行配套建设的环境保护设施与主体工程同时设计、同时施工、同时投产使用的环境保护制度。</w:t>
            </w:r>
          </w:p>
        </w:tc>
        <w:tc>
          <w:tcPr>
            <w:tcW w:w="1012" w:type="dxa"/>
            <w:tcBorders>
              <w:left w:val="single" w:color="auto" w:sz="4" w:space="0"/>
            </w:tcBorders>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977" w:type="dxa"/>
            <w:vAlign w:val="center"/>
          </w:tcPr>
          <w:p>
            <w:pPr>
              <w:rPr>
                <w:rFonts w:hint="eastAsia" w:ascii="Times New Roman" w:hAnsi="Times New Roman" w:cs="Times New Roman"/>
                <w:szCs w:val="21"/>
                <w:lang w:eastAsia="zh-CN"/>
              </w:rPr>
            </w:pPr>
            <w:r>
              <w:rPr>
                <w:rFonts w:hint="eastAsia" w:ascii="Times New Roman" w:hAnsi="Times New Roman" w:cs="Times New Roman"/>
                <w:szCs w:val="21"/>
                <w:lang w:eastAsia="zh-CN"/>
              </w:rPr>
              <w:t>总量</w:t>
            </w:r>
          </w:p>
          <w:p>
            <w:pPr>
              <w:rPr>
                <w:rFonts w:hint="eastAsia" w:ascii="Times New Roman" w:hAnsi="Times New Roman" w:cs="Times New Roman"/>
                <w:szCs w:val="21"/>
                <w:lang w:eastAsia="zh-CN"/>
              </w:rPr>
            </w:pPr>
            <w:r>
              <w:rPr>
                <w:rFonts w:hint="eastAsia" w:ascii="Times New Roman" w:hAnsi="Times New Roman" w:cs="Times New Roman"/>
                <w:szCs w:val="21"/>
                <w:lang w:eastAsia="zh-CN"/>
              </w:rPr>
              <w:t>控制</w:t>
            </w:r>
          </w:p>
        </w:tc>
        <w:tc>
          <w:tcPr>
            <w:tcW w:w="5570" w:type="dxa"/>
            <w:vAlign w:val="center"/>
          </w:tcPr>
          <w:p>
            <w:pPr>
              <w:spacing w:line="360" w:lineRule="auto"/>
              <w:ind w:firstLine="420" w:firstLineChars="200"/>
              <w:rPr>
                <w:kern w:val="0"/>
                <w:sz w:val="21"/>
                <w:szCs w:val="21"/>
              </w:rPr>
            </w:pPr>
            <w:r>
              <w:rPr>
                <w:rFonts w:ascii="Times New Roman" w:hAnsi="Times New Roman" w:cs="Times New Roman"/>
                <w:szCs w:val="21"/>
              </w:rPr>
              <w:t>环评要求：</w:t>
            </w:r>
            <w:r>
              <w:rPr>
                <w:rFonts w:ascii="Times New Roman" w:hAnsi="Times New Roman" w:eastAsia="宋体" w:cs="Times New Roman"/>
                <w:szCs w:val="21"/>
              </w:rPr>
              <w:t>项目建成投入使用后的新增污染物排放总量控制指标为COD排放量≤</w:t>
            </w:r>
            <w:r>
              <w:rPr>
                <w:rFonts w:hint="eastAsia" w:ascii="Times New Roman" w:hAnsi="Times New Roman" w:eastAsia="宋体" w:cs="Times New Roman"/>
                <w:szCs w:val="21"/>
                <w:lang w:val="en-US" w:eastAsia="zh-CN"/>
              </w:rPr>
              <w:t>64.6t/a</w:t>
            </w:r>
            <w:r>
              <w:rPr>
                <w:rFonts w:ascii="Times New Roman" w:hAnsi="Times New Roman" w:eastAsia="宋体" w:cs="Times New Roman"/>
                <w:szCs w:val="21"/>
              </w:rPr>
              <w:t>，</w:t>
            </w:r>
            <w:r>
              <w:rPr>
                <w:rFonts w:hint="eastAsia" w:ascii="Times New Roman" w:hAnsi="Times New Roman" w:eastAsia="宋体" w:cs="Times New Roman"/>
                <w:szCs w:val="21"/>
                <w:lang w:eastAsia="zh-CN"/>
              </w:rPr>
              <w:t>氨氮</w:t>
            </w:r>
            <w:r>
              <w:rPr>
                <w:rFonts w:ascii="Times New Roman" w:hAnsi="Times New Roman" w:eastAsia="宋体" w:cs="Times New Roman"/>
                <w:szCs w:val="21"/>
              </w:rPr>
              <w:t>排放量≤</w:t>
            </w:r>
            <w:r>
              <w:rPr>
                <w:rFonts w:hint="eastAsia" w:ascii="Times New Roman" w:hAnsi="Times New Roman" w:eastAsia="宋体" w:cs="Times New Roman"/>
                <w:szCs w:val="21"/>
                <w:lang w:val="en-US" w:eastAsia="zh-CN"/>
              </w:rPr>
              <w:t>5.3t/a</w:t>
            </w:r>
            <w:r>
              <w:rPr>
                <w:rFonts w:ascii="Times New Roman" w:hAnsi="Times New Roman" w:eastAsia="宋体" w:cs="Times New Roman"/>
                <w:szCs w:val="21"/>
              </w:rPr>
              <w:t>。</w:t>
            </w:r>
          </w:p>
        </w:tc>
        <w:tc>
          <w:tcPr>
            <w:tcW w:w="6615" w:type="dxa"/>
            <w:tcBorders>
              <w:left w:val="single" w:color="auto" w:sz="4" w:space="0"/>
              <w:right w:val="single" w:color="auto" w:sz="4" w:space="0"/>
            </w:tcBorders>
            <w:vAlign w:val="center"/>
          </w:tcPr>
          <w:p>
            <w:pPr>
              <w:spacing w:line="360" w:lineRule="auto"/>
              <w:ind w:firstLine="420" w:firstLineChars="200"/>
              <w:rPr>
                <w:rFonts w:ascii="Times New Roman" w:hAnsi="Times New Roman" w:eastAsia="宋体" w:cs="Times New Roman"/>
                <w:szCs w:val="21"/>
              </w:rPr>
            </w:pPr>
            <w:r>
              <w:rPr>
                <w:rFonts w:ascii="Times New Roman" w:hAnsi="Times New Roman" w:cs="Times New Roman"/>
                <w:szCs w:val="21"/>
              </w:rPr>
              <w:t>根据验收监测结果核算，本项目的</w:t>
            </w:r>
            <w:r>
              <w:rPr>
                <w:rFonts w:hint="eastAsia" w:ascii="Times New Roman" w:hAnsi="Times New Roman" w:cs="Times New Roman"/>
                <w:szCs w:val="21"/>
                <w:lang w:val="en-US" w:eastAsia="zh-CN"/>
              </w:rPr>
              <w:t>COD</w:t>
            </w:r>
            <w:r>
              <w:rPr>
                <w:rFonts w:ascii="Times New Roman" w:hAnsi="Times New Roman" w:cs="Times New Roman"/>
                <w:szCs w:val="21"/>
              </w:rPr>
              <w:t>及氨氮排放总量分别为：</w:t>
            </w:r>
            <w:r>
              <w:rPr>
                <w:rFonts w:hint="eastAsia" w:ascii="Times New Roman" w:hAnsi="Times New Roman" w:cs="Times New Roman"/>
                <w:szCs w:val="21"/>
                <w:lang w:val="en-US" w:eastAsia="zh-CN"/>
              </w:rPr>
              <w:t>2.65</w:t>
            </w:r>
            <w:r>
              <w:rPr>
                <w:rFonts w:hint="eastAsia" w:ascii="Times New Roman" w:hAnsi="Times New Roman" w:eastAsia="宋体" w:cs="Times New Roman"/>
                <w:szCs w:val="21"/>
                <w:lang w:val="en-US" w:eastAsia="zh-CN"/>
              </w:rPr>
              <w:t>t/a</w:t>
            </w:r>
            <w:r>
              <w:rPr>
                <w:rFonts w:ascii="Times New Roman" w:hAnsi="Times New Roman" w:cs="Times New Roman"/>
                <w:szCs w:val="21"/>
              </w:rPr>
              <w:t>、</w:t>
            </w:r>
            <w:r>
              <w:rPr>
                <w:rFonts w:hint="eastAsia" w:ascii="Times New Roman" w:hAnsi="Times New Roman" w:cs="Times New Roman"/>
                <w:szCs w:val="21"/>
                <w:lang w:val="en-US" w:eastAsia="zh-CN"/>
              </w:rPr>
              <w:t>0.024</w:t>
            </w:r>
            <w:r>
              <w:rPr>
                <w:rFonts w:hint="eastAsia" w:ascii="Times New Roman" w:hAnsi="Times New Roman" w:eastAsia="宋体" w:cs="Times New Roman"/>
                <w:szCs w:val="21"/>
                <w:lang w:val="en-US" w:eastAsia="zh-CN"/>
              </w:rPr>
              <w:t>t/a</w:t>
            </w:r>
            <w:r>
              <w:rPr>
                <w:rFonts w:ascii="Times New Roman" w:hAnsi="Times New Roman" w:cs="Times New Roman"/>
                <w:szCs w:val="21"/>
              </w:rPr>
              <w:t>，符合环评批复总量控制指标。</w:t>
            </w:r>
          </w:p>
        </w:tc>
        <w:tc>
          <w:tcPr>
            <w:tcW w:w="1012" w:type="dxa"/>
            <w:tcBorders>
              <w:left w:val="single" w:color="auto" w:sz="4" w:space="0"/>
            </w:tcBorders>
            <w:vAlign w:val="center"/>
          </w:tcPr>
          <w:p>
            <w:pPr>
              <w:jc w:val="center"/>
              <w:rPr>
                <w:rFonts w:ascii="Times New Roman" w:hAnsi="Times New Roman" w:cs="Times New Roman"/>
                <w:szCs w:val="21"/>
              </w:rPr>
            </w:pPr>
          </w:p>
        </w:tc>
      </w:tr>
    </w:tbl>
    <w:p>
      <w:pPr>
        <w:snapToGrid w:val="0"/>
        <w:spacing w:beforeLines="50" w:line="360" w:lineRule="auto"/>
        <w:ind w:firstLine="560" w:firstLineChars="200"/>
        <w:rPr>
          <w:rFonts w:ascii="Times New Roman" w:hAnsi="Times New Roman" w:cs="Times New Roman"/>
          <w:sz w:val="28"/>
          <w:szCs w:val="28"/>
        </w:rPr>
        <w:sectPr>
          <w:headerReference r:id="rId19"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5"/>
        <w:rPr>
          <w:rFonts w:ascii="Times New Roman" w:hAnsi="Times New Roman" w:cs="Times New Roman"/>
          <w:sz w:val="24"/>
          <w:szCs w:val="24"/>
        </w:rPr>
      </w:pPr>
      <w:bookmarkStart w:id="233" w:name="_Toc10711"/>
      <w:r>
        <w:rPr>
          <w:rFonts w:ascii="Times New Roman" w:hAnsi="Times New Roman" w:cs="Times New Roman"/>
          <w:sz w:val="24"/>
          <w:szCs w:val="24"/>
        </w:rPr>
        <w:t>10.4环境风险防范措施及应急预案制定检查结果</w:t>
      </w:r>
      <w:bookmarkEnd w:id="233"/>
    </w:p>
    <w:p>
      <w:pPr>
        <w:spacing w:line="360" w:lineRule="auto"/>
        <w:ind w:firstLine="480" w:firstLineChars="200"/>
        <w:rPr>
          <w:rFonts w:ascii="Times New Roman" w:hAnsi="Times New Roman" w:cs="Times New Roman"/>
          <w:sz w:val="24"/>
        </w:rPr>
      </w:pPr>
      <w:r>
        <w:rPr>
          <w:rFonts w:ascii="Times New Roman" w:hAnsi="Times New Roman" w:cs="Times New Roman"/>
          <w:sz w:val="24"/>
        </w:rPr>
        <w:t>验收监测期间，通过对该公司应急预案等相关文件的检查：</w:t>
      </w:r>
    </w:p>
    <w:p>
      <w:pPr>
        <w:numPr>
          <w:ilvl w:val="0"/>
          <w:numId w:val="8"/>
        </w:numPr>
        <w:spacing w:line="360" w:lineRule="auto"/>
        <w:ind w:firstLine="480" w:firstLineChars="200"/>
        <w:rPr>
          <w:rFonts w:ascii="Times New Roman" w:hAnsi="Times New Roman" w:cs="Times New Roman"/>
          <w:sz w:val="24"/>
        </w:rPr>
      </w:pPr>
      <w:bookmarkStart w:id="234" w:name="_Toc335127632"/>
      <w:r>
        <w:rPr>
          <w:sz w:val="24"/>
          <w:szCs w:val="20"/>
        </w:rPr>
        <w:t>渭南高新区渭河洁能有限公司</w:t>
      </w:r>
      <w:r>
        <w:rPr>
          <w:rFonts w:ascii="Times New Roman" w:hAnsi="Times New Roman" w:cs="Times New Roman"/>
          <w:sz w:val="24"/>
        </w:rPr>
        <w:t>制定了《</w:t>
      </w:r>
      <w:r>
        <w:rPr>
          <w:sz w:val="24"/>
          <w:szCs w:val="20"/>
        </w:rPr>
        <w:t>渭南高新区渭河洁能有限公司</w:t>
      </w:r>
      <w:r>
        <w:rPr>
          <w:rFonts w:ascii="Times New Roman" w:hAnsi="Times New Roman" w:cs="Times New Roman"/>
          <w:bCs/>
          <w:sz w:val="24"/>
        </w:rPr>
        <w:t>突发环境事故应急预案</w:t>
      </w:r>
      <w:r>
        <w:rPr>
          <w:rFonts w:ascii="Times New Roman" w:hAnsi="Times New Roman" w:cs="Times New Roman"/>
          <w:sz w:val="24"/>
        </w:rPr>
        <w:t>》</w:t>
      </w:r>
      <w:r>
        <w:rPr>
          <w:rFonts w:hint="eastAsia" w:ascii="Times New Roman" w:hAnsi="Times New Roman" w:cs="Times New Roman"/>
          <w:sz w:val="24"/>
          <w:lang w:eastAsia="zh-CN"/>
        </w:rPr>
        <w:t>，并于</w:t>
      </w:r>
      <w:r>
        <w:rPr>
          <w:rFonts w:hint="eastAsia" w:ascii="Times New Roman" w:hAnsi="Times New Roman" w:cs="Times New Roman"/>
          <w:sz w:val="24"/>
        </w:rPr>
        <w:t>2016年8月在渭南高新区环保局备案，每年定期进行演练。</w:t>
      </w:r>
      <w:r>
        <w:rPr>
          <w:rFonts w:ascii="Times New Roman" w:hAnsi="Times New Roman" w:cs="Times New Roman"/>
          <w:sz w:val="24"/>
        </w:rPr>
        <w:t>该公司成立了事故应急指挥部，并制定有相应的规章制度，建立了健全的突发性环境污染事故应急机制，预案明确了单位领导及员工在安全生产中所应承担的职责，制定有相应的预警、预防措施，针对突发性环境污染事故制定有严谨的应急响应程序。该公司为应对突发的环境事故储备了相应的应急物资</w:t>
      </w:r>
      <w:bookmarkEnd w:id="234"/>
      <w:r>
        <w:rPr>
          <w:rFonts w:hint="eastAsia" w:ascii="Times New Roman" w:hAnsi="Times New Roman" w:cs="Times New Roman"/>
          <w:sz w:val="24"/>
          <w:lang w:eastAsia="zh-CN"/>
        </w:rPr>
        <w:t>。</w:t>
      </w:r>
    </w:p>
    <w:p>
      <w:pPr>
        <w:numPr>
          <w:ilvl w:val="0"/>
          <w:numId w:val="0"/>
        </w:numPr>
        <w:spacing w:line="360" w:lineRule="auto"/>
        <w:rPr>
          <w:rFonts w:ascii="Times New Roman" w:hAnsi="Times New Roman" w:cs="Times New Roman"/>
          <w:sz w:val="24"/>
        </w:rPr>
      </w:pPr>
    </w:p>
    <w:p>
      <w:pPr>
        <w:spacing w:line="360" w:lineRule="auto"/>
        <w:rPr>
          <w:rFonts w:hint="eastAsia" w:ascii="Times New Roman" w:hAnsi="Times New Roman" w:eastAsia="宋体" w:cs="Times New Roman"/>
          <w:sz w:val="24"/>
          <w:lang w:eastAsia="zh-CN"/>
        </w:rPr>
      </w:pPr>
      <w:r>
        <w:rPr>
          <w:rFonts w:hint="eastAsia" w:ascii="Times New Roman" w:hAnsi="Times New Roman" w:eastAsia="宋体" w:cs="Times New Roman"/>
          <w:kern w:val="2"/>
          <w:sz w:val="24"/>
          <w:szCs w:val="24"/>
          <w:lang w:val="en-US" w:eastAsia="zh-CN" w:bidi="ar-SA"/>
        </w:rPr>
        <w:pict>
          <v:shape id="_x0000_i1049" o:spt="75" type="#_x0000_t75" style="height:277pt;width:415.5pt;" fillcolor="#FFFFFF" filled="f" o:preferrelative="t" stroked="f" coordsize="21600,21600">
            <v:path/>
            <v:fill on="f" color2="#FFFFFF" focussize="0,0"/>
            <v:stroke on="f"/>
            <v:imagedata r:id="rId56" gain="65536f" blacklevel="0f" gamma="0" o:title=""/>
            <o:lock v:ext="edit" position="f" selection="f" grouping="f" rotation="f" cropping="f" text="f" aspectratio="t"/>
            <w10:wrap type="none"/>
            <w10:anchorlock/>
          </v:shape>
        </w:pict>
      </w:r>
    </w:p>
    <w:p>
      <w:pPr>
        <w:spacing w:line="360" w:lineRule="auto"/>
        <w:jc w:val="both"/>
        <w:rPr>
          <w:rFonts w:hint="eastAsia" w:ascii="Times New Roman" w:hAnsi="Times New Roman" w:eastAsia="宋体" w:cs="Times New Roman"/>
          <w:b/>
          <w:kern w:val="2"/>
          <w:sz w:val="24"/>
          <w:szCs w:val="24"/>
          <w:lang w:val="en-US" w:eastAsia="zh-CN" w:bidi="ar-SA"/>
        </w:rPr>
        <w:sectPr>
          <w:headerReference r:id="rId20" w:type="default"/>
          <w:footerReference r:id="rId2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360" w:lineRule="auto"/>
        <w:jc w:val="both"/>
        <w:rPr>
          <w:rFonts w:hint="eastAsia" w:ascii="Times New Roman" w:hAnsi="Times New Roman" w:eastAsia="宋体" w:cs="Times New Roman"/>
          <w:b/>
          <w:sz w:val="24"/>
          <w:lang w:eastAsia="zh-CN"/>
        </w:rPr>
      </w:pPr>
      <w:r>
        <w:rPr>
          <w:rFonts w:hint="eastAsia" w:ascii="Times New Roman" w:hAnsi="Times New Roman" w:eastAsia="宋体" w:cs="Times New Roman"/>
          <w:b/>
          <w:kern w:val="2"/>
          <w:sz w:val="24"/>
          <w:szCs w:val="24"/>
          <w:lang w:val="en-US" w:eastAsia="zh-CN" w:bidi="ar-SA"/>
        </w:rPr>
        <w:pict>
          <v:shape id="_x0000_i1050" o:spt="75" type="#_x0000_t75" style="height:301.4pt;width:415.5pt;" fillcolor="#FFFFFF" filled="f" o:preferrelative="t" stroked="f" coordsize="21600,21600">
            <v:path/>
            <v:fill on="f" color2="#FFFFFF" focussize="0,0"/>
            <v:stroke on="f"/>
            <v:imagedata r:id="rId57" gain="65536f" blacklevel="0f" gamma="0" o:title=""/>
            <o:lock v:ext="edit" position="f" selection="f" grouping="f" rotation="f" cropping="f" text="f" aspectratio="t"/>
            <w10:wrap type="none"/>
            <w10:anchorlock/>
          </v:shape>
        </w:pict>
      </w:r>
    </w:p>
    <w:p>
      <w:pPr>
        <w:spacing w:line="360" w:lineRule="auto"/>
        <w:jc w:val="both"/>
        <w:rPr>
          <w:rFonts w:hint="eastAsia" w:ascii="Times New Roman" w:hAnsi="Times New Roman" w:eastAsia="宋体" w:cs="Times New Roman"/>
          <w:b/>
          <w:sz w:val="24"/>
          <w:lang w:eastAsia="zh-CN"/>
        </w:rPr>
      </w:pPr>
      <w:r>
        <w:rPr>
          <w:rFonts w:hint="eastAsia" w:ascii="Times New Roman" w:hAnsi="Times New Roman" w:eastAsia="宋体" w:cs="Times New Roman"/>
          <w:b/>
          <w:kern w:val="2"/>
          <w:sz w:val="24"/>
          <w:szCs w:val="24"/>
          <w:lang w:val="en-US" w:eastAsia="zh-CN" w:bidi="ar-SA"/>
        </w:rPr>
        <w:pict>
          <v:shape id="_x0000_i1051" o:spt="75" type="#_x0000_t75" style="height:307.2pt;width:415.5pt;" fillcolor="#FFFFFF" filled="f" o:preferrelative="t" stroked="f" coordsize="21600,21600">
            <v:path/>
            <v:fill on="f" color2="#FFFFFF" focussize="0,0"/>
            <v:stroke on="f"/>
            <v:imagedata r:id="rId58" gain="65536f" blacklevel="0f" gamma="0" o:title=""/>
            <o:lock v:ext="edit" position="f" selection="f" grouping="f" rotation="f" cropping="f" text="f" aspectratio="t"/>
            <w10:wrap type="none"/>
            <w10:anchorlock/>
          </v:shape>
        </w:pict>
      </w:r>
    </w:p>
    <w:p>
      <w:pPr>
        <w:spacing w:line="360" w:lineRule="auto"/>
        <w:ind w:firstLine="570"/>
        <w:jc w:val="center"/>
        <w:rPr>
          <w:rFonts w:ascii="Times New Roman" w:hAnsi="Times New Roman" w:cs="Times New Roman"/>
          <w:b/>
          <w:sz w:val="24"/>
        </w:rPr>
      </w:pPr>
    </w:p>
    <w:p>
      <w:pPr>
        <w:spacing w:line="360" w:lineRule="auto"/>
        <w:ind w:firstLine="570"/>
        <w:jc w:val="center"/>
        <w:rPr>
          <w:rFonts w:ascii="Times New Roman" w:hAnsi="Times New Roman" w:cs="Times New Roman"/>
          <w:b/>
          <w:sz w:val="24"/>
        </w:rPr>
      </w:pPr>
    </w:p>
    <w:p>
      <w:pPr>
        <w:spacing w:line="360" w:lineRule="auto"/>
        <w:ind w:firstLine="570"/>
        <w:jc w:val="center"/>
        <w:rPr>
          <w:rFonts w:ascii="Times New Roman" w:hAnsi="Times New Roman" w:cs="Times New Roman"/>
          <w:b/>
          <w:sz w:val="24"/>
        </w:rPr>
      </w:pPr>
    </w:p>
    <w:p>
      <w:pPr>
        <w:spacing w:line="360" w:lineRule="auto"/>
        <w:jc w:val="both"/>
        <w:rPr>
          <w:rFonts w:hint="eastAsia" w:ascii="Times New Roman" w:hAnsi="Times New Roman" w:eastAsia="宋体" w:cs="Times New Roman"/>
          <w:b/>
          <w:sz w:val="24"/>
          <w:lang w:eastAsia="zh-CN"/>
        </w:rPr>
      </w:pPr>
      <w:r>
        <w:rPr>
          <w:rFonts w:hint="eastAsia" w:ascii="Times New Roman" w:hAnsi="Times New Roman" w:eastAsia="宋体" w:cs="Times New Roman"/>
          <w:b/>
          <w:kern w:val="2"/>
          <w:sz w:val="24"/>
          <w:szCs w:val="24"/>
          <w:lang w:val="en-US" w:eastAsia="zh-CN" w:bidi="ar-SA"/>
        </w:rPr>
        <w:pict>
          <v:shape id="_x0000_i1052" o:spt="75" type="#_x0000_t75" style="height:293.6pt;width:415.5pt;" fillcolor="#FFFFFF" filled="f" o:preferrelative="t" stroked="f" coordsize="21600,21600">
            <v:path/>
            <v:fill on="f" color2="#FFFFFF" focussize="0,0"/>
            <v:stroke on="f"/>
            <v:imagedata r:id="rId59" gain="65536f" blacklevel="0f" gamma="0" o:title=""/>
            <o:lock v:ext="edit" position="f" selection="f" grouping="f" rotation="f" cropping="f" text="f" aspectratio="t"/>
            <w10:wrap type="none"/>
            <w10:anchorlock/>
          </v:shape>
        </w:pict>
      </w:r>
    </w:p>
    <w:p>
      <w:pPr>
        <w:spacing w:line="360" w:lineRule="auto"/>
        <w:ind w:firstLine="570"/>
        <w:jc w:val="center"/>
        <w:rPr>
          <w:rFonts w:ascii="Times New Roman" w:hAnsi="Times New Roman" w:cs="Times New Roman"/>
          <w:b/>
          <w:sz w:val="24"/>
        </w:rPr>
      </w:pPr>
      <w:r>
        <w:rPr>
          <w:rFonts w:ascii="Times New Roman" w:hAnsi="Times New Roman" w:cs="Times New Roman"/>
          <w:b/>
          <w:sz w:val="24"/>
        </w:rPr>
        <w:t>图10.4-1 环境应急事故演练</w:t>
      </w:r>
    </w:p>
    <w:p>
      <w:pPr>
        <w:spacing w:line="360" w:lineRule="auto"/>
        <w:ind w:firstLine="570"/>
        <w:rPr>
          <w:rFonts w:ascii="Times New Roman" w:hAnsi="Times New Roman" w:cs="Times New Roman"/>
          <w:sz w:val="24"/>
        </w:rPr>
      </w:pPr>
      <w:r>
        <w:rPr>
          <w:rFonts w:ascii="Times New Roman" w:hAnsi="Times New Roman" w:cs="Times New Roman"/>
          <w:sz w:val="24"/>
        </w:rPr>
        <w:t>（2）该公司设有消防水池，</w:t>
      </w:r>
      <w:r>
        <w:rPr>
          <w:rFonts w:ascii="Times New Roman" w:hAnsi="Times New Roman" w:cs="Times New Roman"/>
          <w:bCs/>
          <w:sz w:val="24"/>
        </w:rPr>
        <w:t>容</w:t>
      </w:r>
      <w:r>
        <w:rPr>
          <w:rFonts w:ascii="Times New Roman" w:hAnsi="Times New Roman" w:cs="Times New Roman"/>
          <w:bCs/>
          <w:color w:val="auto"/>
          <w:sz w:val="24"/>
        </w:rPr>
        <w:t>积</w:t>
      </w:r>
      <w:r>
        <w:rPr>
          <w:rFonts w:hint="eastAsia" w:ascii="Times New Roman" w:hAnsi="Times New Roman" w:cs="Times New Roman"/>
          <w:bCs/>
          <w:color w:val="auto"/>
          <w:sz w:val="24"/>
          <w:lang w:val="en-US" w:eastAsia="zh-CN"/>
        </w:rPr>
        <w:t>2900</w:t>
      </w:r>
      <w:r>
        <w:rPr>
          <w:rFonts w:ascii="Times New Roman" w:hAnsi="Times New Roman" w:cs="Times New Roman"/>
          <w:bCs/>
          <w:color w:val="auto"/>
          <w:sz w:val="24"/>
        </w:rPr>
        <w:t>m</w:t>
      </w:r>
      <w:r>
        <w:rPr>
          <w:rFonts w:ascii="Times New Roman" w:hAnsi="Times New Roman" w:cs="Times New Roman"/>
          <w:bCs/>
          <w:sz w:val="24"/>
          <w:vertAlign w:val="superscript"/>
        </w:rPr>
        <w:t>3</w:t>
      </w:r>
      <w:r>
        <w:rPr>
          <w:rFonts w:ascii="Times New Roman" w:hAnsi="Times New Roman" w:cs="Times New Roman"/>
          <w:bCs/>
          <w:sz w:val="24"/>
        </w:rPr>
        <w:t>，</w:t>
      </w:r>
      <w:r>
        <w:rPr>
          <w:rFonts w:ascii="Times New Roman" w:hAnsi="Times New Roman" w:eastAsia="宋体" w:cs="Times New Roman"/>
          <w:sz w:val="24"/>
        </w:rPr>
        <w:t>位于项目厂区</w:t>
      </w:r>
      <w:r>
        <w:rPr>
          <w:rFonts w:hint="eastAsia" w:ascii="Times New Roman" w:hAnsi="Times New Roman" w:cs="Times New Roman"/>
          <w:color w:val="auto"/>
          <w:sz w:val="24"/>
          <w:lang w:eastAsia="zh-CN"/>
        </w:rPr>
        <w:t>北侧</w:t>
      </w:r>
      <w:r>
        <w:rPr>
          <w:rFonts w:ascii="Times New Roman" w:hAnsi="Times New Roman" w:eastAsia="宋体" w:cs="Times New Roman"/>
          <w:sz w:val="24"/>
        </w:rPr>
        <w:t>。</w:t>
      </w:r>
      <w:r>
        <w:rPr>
          <w:rFonts w:ascii="Times New Roman" w:hAnsi="Times New Roman" w:cs="Times New Roman"/>
          <w:bCs/>
          <w:sz w:val="24"/>
        </w:rPr>
        <w:t xml:space="preserve">   </w:t>
      </w:r>
    </w:p>
    <w:p>
      <w:pPr>
        <w:spacing w:line="360" w:lineRule="auto"/>
        <w:ind w:firstLine="480" w:firstLineChars="200"/>
        <w:jc w:val="left"/>
        <w:rPr>
          <w:rFonts w:ascii="Times New Roman" w:hAnsi="Times New Roman" w:eastAsia="宋体" w:cs="Times New Roman"/>
          <w:sz w:val="24"/>
        </w:rPr>
      </w:pPr>
    </w:p>
    <w:p>
      <w:pPr>
        <w:snapToGrid w:val="0"/>
        <w:spacing w:line="360" w:lineRule="auto"/>
        <w:ind w:firstLine="480" w:firstLineChars="200"/>
        <w:rPr>
          <w:rFonts w:ascii="Times New Roman" w:hAnsi="Times New Roman" w:cs="Times New Roman"/>
          <w:sz w:val="24"/>
        </w:rPr>
      </w:pPr>
    </w:p>
    <w:p>
      <w:pPr>
        <w:snapToGrid w:val="0"/>
        <w:spacing w:line="360" w:lineRule="auto"/>
        <w:ind w:firstLine="570"/>
        <w:rPr>
          <w:rFonts w:ascii="Times New Roman" w:hAnsi="Times New Roman" w:cs="Times New Roman"/>
          <w:sz w:val="24"/>
        </w:rPr>
      </w:pPr>
      <w:r>
        <w:rPr>
          <w:rFonts w:ascii="Times New Roman" w:hAnsi="Times New Roman" w:cs="Times New Roman"/>
          <w:sz w:val="28"/>
          <w:szCs w:val="28"/>
        </w:rPr>
        <w:br w:type="page"/>
      </w:r>
    </w:p>
    <w:p>
      <w:pPr>
        <w:pStyle w:val="4"/>
        <w:jc w:val="both"/>
        <w:rPr>
          <w:rFonts w:cs="Times New Roman"/>
          <w:sz w:val="28"/>
          <w:szCs w:val="28"/>
        </w:rPr>
      </w:pPr>
      <w:bookmarkStart w:id="235" w:name="_Toc406660993"/>
      <w:bookmarkStart w:id="236" w:name="_Toc14177"/>
      <w:r>
        <w:rPr>
          <w:rFonts w:cs="Times New Roman"/>
          <w:sz w:val="28"/>
          <w:szCs w:val="28"/>
        </w:rPr>
        <w:t>1</w:t>
      </w:r>
      <w:r>
        <w:rPr>
          <w:rFonts w:hint="eastAsia" w:cs="Times New Roman"/>
          <w:sz w:val="28"/>
          <w:szCs w:val="28"/>
          <w:lang w:val="en-US" w:eastAsia="zh-CN"/>
        </w:rPr>
        <w:t>1</w:t>
      </w:r>
      <w:r>
        <w:rPr>
          <w:rFonts w:cs="Times New Roman"/>
          <w:sz w:val="28"/>
          <w:szCs w:val="28"/>
        </w:rPr>
        <w:t xml:space="preserve"> </w:t>
      </w:r>
      <w:bookmarkEnd w:id="235"/>
      <w:r>
        <w:rPr>
          <w:rFonts w:cs="Times New Roman"/>
          <w:sz w:val="28"/>
          <w:szCs w:val="28"/>
        </w:rPr>
        <w:t>验收监测结论</w:t>
      </w:r>
      <w:bookmarkEnd w:id="236"/>
    </w:p>
    <w:p>
      <w:pPr>
        <w:spacing w:line="360" w:lineRule="auto"/>
        <w:rPr>
          <w:rFonts w:ascii="Times New Roman" w:hAnsi="Times New Roman" w:eastAsia="宋体" w:cs="Times New Roman"/>
          <w:b/>
          <w:sz w:val="24"/>
        </w:rPr>
      </w:pPr>
      <w:bookmarkStart w:id="237" w:name="_Toc406660994"/>
      <w:r>
        <w:rPr>
          <w:rFonts w:ascii="Times New Roman" w:hAnsi="Times New Roman" w:eastAsia="宋体" w:cs="Times New Roman"/>
          <w:b/>
          <w:sz w:val="24"/>
        </w:rPr>
        <w:t>1</w:t>
      </w:r>
      <w:r>
        <w:rPr>
          <w:rFonts w:hint="eastAsia" w:ascii="Times New Roman" w:hAnsi="Times New Roman" w:eastAsia="宋体" w:cs="Times New Roman"/>
          <w:b/>
          <w:sz w:val="24"/>
          <w:lang w:val="en-US" w:eastAsia="zh-CN"/>
        </w:rPr>
        <w:t>1</w:t>
      </w:r>
      <w:r>
        <w:rPr>
          <w:rFonts w:ascii="Times New Roman" w:hAnsi="Times New Roman" w:eastAsia="宋体" w:cs="Times New Roman"/>
          <w:b/>
          <w:sz w:val="24"/>
        </w:rPr>
        <w:t>.1环保设施调试运行效果</w:t>
      </w:r>
    </w:p>
    <w:p>
      <w:pPr>
        <w:spacing w:line="360" w:lineRule="auto"/>
        <w:rPr>
          <w:rFonts w:ascii="Times New Roman" w:hAnsi="Times New Roman" w:eastAsia="宋体" w:cs="Times New Roman"/>
          <w:b/>
          <w:sz w:val="24"/>
        </w:rPr>
      </w:pPr>
      <w:r>
        <w:rPr>
          <w:rFonts w:ascii="Times New Roman" w:hAnsi="Times New Roman" w:eastAsia="宋体" w:cs="Times New Roman"/>
          <w:b/>
          <w:sz w:val="24"/>
        </w:rPr>
        <w:t>1</w:t>
      </w:r>
      <w:r>
        <w:rPr>
          <w:rFonts w:hint="eastAsia" w:ascii="Times New Roman" w:hAnsi="Times New Roman" w:eastAsia="宋体" w:cs="Times New Roman"/>
          <w:b/>
          <w:sz w:val="24"/>
          <w:lang w:val="en-US" w:eastAsia="zh-CN"/>
        </w:rPr>
        <w:t>1</w:t>
      </w:r>
      <w:r>
        <w:rPr>
          <w:rFonts w:ascii="Times New Roman" w:hAnsi="Times New Roman" w:eastAsia="宋体" w:cs="Times New Roman"/>
          <w:b/>
          <w:sz w:val="24"/>
        </w:rPr>
        <w:t>.1.1污染物排放监测结果</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（1）</w:t>
      </w:r>
      <w:r>
        <w:rPr>
          <w:rFonts w:hint="eastAsia" w:ascii="Times New Roman" w:hAnsi="Times New Roman" w:cs="Times New Roman"/>
          <w:sz w:val="24"/>
          <w:lang w:eastAsia="zh-CN"/>
        </w:rPr>
        <w:t>废气</w:t>
      </w:r>
      <w:r>
        <w:rPr>
          <w:rFonts w:ascii="Times New Roman" w:hAnsi="Times New Roman" w:cs="Times New Roman"/>
          <w:sz w:val="24"/>
        </w:rPr>
        <w:t>验收监测结果</w:t>
      </w:r>
    </w:p>
    <w:p>
      <w:pPr>
        <w:spacing w:line="360" w:lineRule="auto"/>
        <w:ind w:firstLine="570"/>
        <w:rPr>
          <w:rFonts w:ascii="Times New Roman" w:hAnsi="Times New Roman" w:cs="Times New Roman"/>
          <w:sz w:val="24"/>
        </w:rPr>
      </w:pPr>
      <w:r>
        <w:rPr>
          <w:rFonts w:ascii="Times New Roman" w:hAnsi="Times New Roman" w:cs="Times New Roman"/>
          <w:sz w:val="24"/>
        </w:rPr>
        <w:t>监测结果表明，</w:t>
      </w:r>
      <w:r>
        <w:rPr>
          <w:rFonts w:ascii="Times New Roman" w:hAnsi="Times New Roman" w:cs="Times New Roman"/>
          <w:sz w:val="24"/>
        </w:rPr>
        <w:t>验收监测期间</w:t>
      </w:r>
      <w:r>
        <w:rPr>
          <w:rFonts w:hint="eastAsia" w:ascii="Times New Roman" w:hAnsi="Times New Roman" w:cs="Times New Roman"/>
          <w:sz w:val="24"/>
          <w:lang w:eastAsia="zh-CN"/>
        </w:rPr>
        <w:t>无组织废气中</w:t>
      </w:r>
      <w:r>
        <w:rPr>
          <w:rFonts w:hint="eastAsia" w:ascii="Times New Roman" w:hAnsi="Times New Roman" w:cs="Times New Roman"/>
          <w:sz w:val="24"/>
          <w:lang w:val="en-US" w:eastAsia="zh-CN"/>
        </w:rPr>
        <w:t>H</w:t>
      </w:r>
      <w:r>
        <w:rPr>
          <w:rFonts w:hint="eastAsia" w:ascii="Times New Roman" w:hAnsi="Times New Roman" w:cs="Times New Roman"/>
          <w:sz w:val="24"/>
          <w:vertAlign w:val="subscript"/>
          <w:lang w:val="en-US" w:eastAsia="zh-CN"/>
        </w:rPr>
        <w:t>2</w:t>
      </w:r>
      <w:r>
        <w:rPr>
          <w:rFonts w:hint="eastAsia" w:ascii="Times New Roman" w:hAnsi="Times New Roman" w:cs="Times New Roman"/>
          <w:sz w:val="24"/>
          <w:lang w:val="en-US" w:eastAsia="zh-CN"/>
        </w:rPr>
        <w:t>S、NH</w:t>
      </w:r>
      <w:r>
        <w:rPr>
          <w:rFonts w:hint="eastAsia" w:ascii="Times New Roman" w:hAnsi="Times New Roman" w:cs="Times New Roman"/>
          <w:sz w:val="24"/>
          <w:vertAlign w:val="subscript"/>
          <w:lang w:val="en-US" w:eastAsia="zh-CN"/>
        </w:rPr>
        <w:t>3</w:t>
      </w:r>
      <w:r>
        <w:rPr>
          <w:rFonts w:ascii="Times New Roman" w:hAnsi="Times New Roman" w:cs="Times New Roman"/>
          <w:sz w:val="24"/>
          <w:szCs w:val="22"/>
        </w:rPr>
        <w:t>符合验收监测执行标准</w:t>
      </w:r>
      <w:r>
        <w:rPr>
          <w:rFonts w:hint="eastAsia" w:ascii="Times New Roman" w:hAnsi="Times New Roman" w:cs="Times New Roman"/>
          <w:sz w:val="24"/>
          <w:szCs w:val="22"/>
          <w:lang w:val="en-US" w:eastAsia="zh-CN"/>
        </w:rPr>
        <w:t>《恶臭污染物排放标准》（GB14554-93）表1厂界标准限值要求</w:t>
      </w:r>
      <w:r>
        <w:rPr>
          <w:rFonts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（2）</w:t>
      </w:r>
      <w:r>
        <w:rPr>
          <w:rFonts w:hint="eastAsia" w:ascii="Times New Roman" w:hAnsi="Times New Roman" w:cs="Times New Roman"/>
          <w:sz w:val="24"/>
          <w:lang w:eastAsia="zh-CN"/>
        </w:rPr>
        <w:t>废水</w:t>
      </w:r>
      <w:r>
        <w:rPr>
          <w:rFonts w:ascii="Times New Roman" w:hAnsi="Times New Roman" w:cs="Times New Roman"/>
          <w:sz w:val="24"/>
        </w:rPr>
        <w:t>验收监测结果</w:t>
      </w:r>
    </w:p>
    <w:p>
      <w:pPr>
        <w:spacing w:line="360" w:lineRule="auto"/>
        <w:ind w:firstLine="480" w:firstLineChars="200"/>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验收监测期间，废水处理站出口水质监测结果均满足</w:t>
      </w:r>
      <w:r>
        <w:rPr>
          <w:rFonts w:hint="eastAsia" w:ascii="Times New Roman" w:hAnsi="Times New Roman" w:cs="Times New Roman"/>
          <w:sz w:val="24"/>
          <w:lang w:val="en-US" w:eastAsia="zh-CN"/>
        </w:rPr>
        <w:t>《黄河流域（陕西段）污水综合排放标准》（DB61/224-2011）二级标准、《污水综合排放标准》（GB8978-1996）中三级标准及《污水排入城镇下水道水质标准》（GB/T31962-2015）中的B等级标准</w:t>
      </w:r>
      <w:r>
        <w:rPr>
          <w:rFonts w:hint="eastAsia" w:ascii="Times New Roman" w:hAnsi="Times New Roman" w:cs="Times New Roman"/>
          <w:b w:val="0"/>
          <w:bCs w:val="0"/>
          <w:sz w:val="24"/>
          <w:szCs w:val="24"/>
          <w:lang w:val="en-US" w:eastAsia="zh-CN"/>
        </w:rPr>
        <w:t>。</w:t>
      </w:r>
    </w:p>
    <w:p>
      <w:pPr>
        <w:spacing w:line="360" w:lineRule="auto"/>
        <w:ind w:firstLine="480" w:firstLineChars="200"/>
        <w:rPr>
          <w:rFonts w:hint="eastAsia"/>
          <w:lang w:val="en-US" w:eastAsia="zh-CN"/>
        </w:rPr>
      </w:pPr>
      <w:r>
        <w:rPr>
          <w:rFonts w:hint="eastAsia" w:ascii="Times New Roman" w:hAnsi="Times New Roman" w:cs="Times New Roman"/>
          <w:b w:val="0"/>
          <w:bCs w:val="0"/>
          <w:sz w:val="24"/>
          <w:szCs w:val="24"/>
          <w:lang w:val="en-US" w:eastAsia="zh-CN"/>
        </w:rPr>
        <w:t xml:space="preserve"> 中水处理站出口水质均满足</w:t>
      </w:r>
      <w:r>
        <w:rPr>
          <w:rFonts w:hint="eastAsia" w:ascii="Times New Roman" w:hAnsi="Times New Roman" w:cs="Times New Roman"/>
          <w:sz w:val="24"/>
          <w:lang w:val="en-US" w:eastAsia="zh-CN"/>
        </w:rPr>
        <w:t>《黄河流域（陕西段）污水综合排放标准》（DB61/224-2011）二级标准、《污水综合排放标准》（GB8978-1996）中三级标准及《污水排入城镇下水道水质标准》（GB/T31962-2015）中的B等级标准</w:t>
      </w:r>
      <w:r>
        <w:rPr>
          <w:rFonts w:hint="eastAsia" w:ascii="Times New Roman" w:hAnsi="Times New Roman" w:cs="Times New Roman"/>
          <w:b w:val="0"/>
          <w:bCs w:val="0"/>
          <w:sz w:val="24"/>
          <w:szCs w:val="24"/>
          <w:lang w:val="en-US" w:eastAsia="zh-CN"/>
        </w:rPr>
        <w:t>。</w:t>
      </w:r>
    </w:p>
    <w:p>
      <w:pPr>
        <w:spacing w:line="360" w:lineRule="auto"/>
        <w:ind w:firstLine="482" w:firstLineChars="200"/>
        <w:rPr>
          <w:rFonts w:ascii="Times New Roman" w:hAnsi="Times New Roman" w:eastAsia="宋体" w:cs="Times New Roman"/>
          <w:b/>
          <w:sz w:val="24"/>
        </w:rPr>
      </w:pPr>
      <w:r>
        <w:rPr>
          <w:rFonts w:ascii="Times New Roman" w:hAnsi="Times New Roman" w:eastAsia="宋体" w:cs="Times New Roman"/>
          <w:b/>
          <w:sz w:val="24"/>
        </w:rPr>
        <w:t>1</w:t>
      </w:r>
      <w:r>
        <w:rPr>
          <w:rFonts w:hint="eastAsia" w:ascii="Times New Roman" w:hAnsi="Times New Roman" w:eastAsia="宋体" w:cs="Times New Roman"/>
          <w:b/>
          <w:sz w:val="24"/>
          <w:lang w:val="en-US" w:eastAsia="zh-CN"/>
        </w:rPr>
        <w:t>1</w:t>
      </w:r>
      <w:r>
        <w:rPr>
          <w:rFonts w:ascii="Times New Roman" w:hAnsi="Times New Roman" w:eastAsia="宋体" w:cs="Times New Roman"/>
          <w:b/>
          <w:sz w:val="24"/>
        </w:rPr>
        <w:t>.2工程建设对环境的影响</w:t>
      </w:r>
    </w:p>
    <w:bookmarkEnd w:id="237"/>
    <w:p>
      <w:pPr>
        <w:snapToGrid w:val="0"/>
        <w:spacing w:line="360" w:lineRule="auto"/>
        <w:ind w:firstLine="480" w:firstLineChars="200"/>
        <w:rPr>
          <w:rFonts w:ascii="Times New Roman" w:hAnsi="Times New Roman" w:cs="Times New Roman"/>
          <w:sz w:val="24"/>
        </w:rPr>
        <w:sectPr>
          <w:footerReference r:id="rId22"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bookmarkStart w:id="238" w:name="_Toc294790699"/>
      <w:bookmarkStart w:id="239" w:name="_Toc296091824"/>
      <w:r>
        <w:rPr>
          <w:rFonts w:ascii="Times New Roman" w:hAnsi="Times New Roman" w:cs="Times New Roman"/>
          <w:sz w:val="24"/>
        </w:rPr>
        <w:t>根据以上验收监测结果，项目</w:t>
      </w:r>
      <w:r>
        <w:rPr>
          <w:rFonts w:hint="eastAsia" w:ascii="Times New Roman" w:hAnsi="Times New Roman" w:cs="Times New Roman"/>
          <w:sz w:val="24"/>
          <w:lang w:eastAsia="zh-CN"/>
        </w:rPr>
        <w:t>废气无组织</w:t>
      </w:r>
      <w:r>
        <w:rPr>
          <w:rFonts w:ascii="Times New Roman" w:hAnsi="Times New Roman" w:cs="Times New Roman"/>
          <w:sz w:val="24"/>
        </w:rPr>
        <w:t>排放</w:t>
      </w:r>
      <w:r>
        <w:rPr>
          <w:rFonts w:hint="eastAsia" w:ascii="Times New Roman" w:hAnsi="Times New Roman" w:cs="Times New Roman"/>
          <w:sz w:val="24"/>
          <w:lang w:eastAsia="zh-CN"/>
        </w:rPr>
        <w:t>、废水</w:t>
      </w:r>
      <w:r>
        <w:rPr>
          <w:rFonts w:ascii="Times New Roman" w:hAnsi="Times New Roman" w:cs="Times New Roman"/>
          <w:sz w:val="24"/>
        </w:rPr>
        <w:t>能够达到验收执行标准</w:t>
      </w:r>
      <w:r>
        <w:rPr>
          <w:rFonts w:hint="eastAsia" w:ascii="Times New Roman" w:hAnsi="Times New Roman" w:cs="Times New Roman"/>
          <w:sz w:val="24"/>
        </w:rPr>
        <w:t>，</w:t>
      </w:r>
      <w:r>
        <w:rPr>
          <w:rFonts w:hint="eastAsia" w:ascii="Times New Roman" w:hAnsi="Times New Roman" w:cs="Times New Roman"/>
          <w:sz w:val="24"/>
          <w:lang w:eastAsia="zh-CN"/>
        </w:rPr>
        <w:t>废水</w:t>
      </w:r>
      <w:r>
        <w:rPr>
          <w:rFonts w:hint="eastAsia" w:ascii="Times New Roman" w:hAnsi="Times New Roman" w:cs="Times New Roman"/>
          <w:sz w:val="24"/>
        </w:rPr>
        <w:t>治理设施能够满足环评要求，建议</w:t>
      </w:r>
      <w:r>
        <w:rPr>
          <w:rFonts w:hint="eastAsia" w:ascii="Times New Roman" w:hAnsi="Times New Roman" w:cs="Times New Roman"/>
          <w:sz w:val="24"/>
          <w:lang w:eastAsia="zh-CN"/>
        </w:rPr>
        <w:t>建设单位设置生物除臭装置及</w:t>
      </w:r>
      <w:r>
        <w:rPr>
          <w:rFonts w:hint="eastAsia" w:ascii="Times New Roman" w:hAnsi="Times New Roman" w:cs="Times New Roman"/>
          <w:sz w:val="24"/>
          <w:lang w:val="en-US" w:eastAsia="zh-CN"/>
        </w:rPr>
        <w:t>15m高排气筒后</w:t>
      </w:r>
      <w:r>
        <w:rPr>
          <w:rFonts w:hint="eastAsia" w:ascii="Times New Roman" w:hAnsi="Times New Roman" w:cs="Times New Roman"/>
          <w:sz w:val="24"/>
        </w:rPr>
        <w:t>通过竣工环境保护验收</w:t>
      </w:r>
      <w:r>
        <w:rPr>
          <w:rFonts w:ascii="Times New Roman" w:hAnsi="Times New Roman" w:cs="Times New Roman"/>
          <w:sz w:val="24"/>
        </w:rPr>
        <w:t>。</w:t>
      </w:r>
      <w:bookmarkEnd w:id="238"/>
      <w:bookmarkEnd w:id="239"/>
    </w:p>
    <w:p>
      <w:pPr>
        <w:spacing w:line="300" w:lineRule="exact"/>
        <w:jc w:val="center"/>
        <w:rPr>
          <w:rFonts w:ascii="Times New Roman" w:hAnsi="Times New Roman" w:eastAsia="黑体" w:cs="Times New Roman"/>
          <w:b/>
          <w:szCs w:val="21"/>
        </w:rPr>
      </w:pPr>
      <w:r>
        <w:rPr>
          <w:rFonts w:ascii="Times New Roman" w:hAnsi="Times New Roman" w:eastAsia="黑体" w:cs="Times New Roman"/>
          <w:b/>
          <w:szCs w:val="21"/>
        </w:rPr>
        <w:t>建设项目竣工环境保护“三同时”验收登记表</w:t>
      </w:r>
    </w:p>
    <w:p>
      <w:pPr>
        <w:spacing w:line="300" w:lineRule="exact"/>
        <w:jc w:val="center"/>
        <w:rPr>
          <w:rFonts w:ascii="Times New Roman" w:hAnsi="Times New Roman" w:eastAsia="黑体" w:cs="Times New Roman"/>
          <w:b/>
          <w:szCs w:val="21"/>
        </w:rPr>
      </w:pPr>
    </w:p>
    <w:p>
      <w:pPr>
        <w:rPr>
          <w:rFonts w:ascii="Times New Roman" w:hAnsi="Times New Roman" w:eastAsia="宋体" w:cs="Times New Roman"/>
          <w:b/>
          <w:szCs w:val="21"/>
        </w:rPr>
      </w:pPr>
      <w:r>
        <w:rPr>
          <w:rFonts w:ascii="Times New Roman" w:hAnsi="Times New Roman" w:eastAsia="宋体" w:cs="Times New Roman"/>
          <w:b/>
          <w:szCs w:val="21"/>
        </w:rPr>
        <w:t>填表单位（盖章）：                  填表人（签字）：                              项目经办人（签字）：</w:t>
      </w:r>
    </w:p>
    <w:tbl>
      <w:tblPr>
        <w:tblStyle w:val="27"/>
        <w:tblW w:w="1587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06"/>
        <w:gridCol w:w="850"/>
        <w:gridCol w:w="1230"/>
        <w:gridCol w:w="1050"/>
        <w:gridCol w:w="880"/>
        <w:gridCol w:w="1290"/>
        <w:gridCol w:w="960"/>
        <w:gridCol w:w="980"/>
        <w:gridCol w:w="2380"/>
        <w:gridCol w:w="1100"/>
        <w:gridCol w:w="590"/>
        <w:gridCol w:w="590"/>
        <w:gridCol w:w="410"/>
        <w:gridCol w:w="580"/>
        <w:gridCol w:w="6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restart"/>
            <w:tcMar>
              <w:left w:w="57" w:type="dxa"/>
              <w:right w:w="57" w:type="dxa"/>
            </w:tcMar>
            <w:textDirection w:val="tbRlV"/>
            <w:vAlign w:val="center"/>
          </w:tcPr>
          <w:p>
            <w:pPr>
              <w:ind w:left="113" w:right="113"/>
              <w:jc w:val="center"/>
              <w:rPr>
                <w:rFonts w:ascii="Times New Roman" w:hAnsi="Times New Roman" w:cs="Times New Roman"/>
                <w:b/>
                <w:sz w:val="15"/>
                <w:szCs w:val="15"/>
              </w:rPr>
            </w:pPr>
            <w:r>
              <w:rPr>
                <w:rFonts w:ascii="Times New Roman" w:hAnsi="Times New Roman" w:cs="Times New Roman"/>
                <w:b/>
                <w:sz w:val="15"/>
                <w:szCs w:val="15"/>
              </w:rPr>
              <w:t>建设项目</w:t>
            </w:r>
          </w:p>
        </w:tc>
        <w:tc>
          <w:tcPr>
            <w:tcW w:w="1873" w:type="dxa"/>
            <w:gridSpan w:val="3"/>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项目名称</w:t>
            </w:r>
          </w:p>
        </w:tc>
        <w:tc>
          <w:tcPr>
            <w:tcW w:w="5300" w:type="dxa"/>
            <w:gridSpan w:val="5"/>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rPr>
              <w:t>废水处理及中水回用系统扩能改造项目</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项目代码</w:t>
            </w:r>
          </w:p>
        </w:tc>
        <w:tc>
          <w:tcPr>
            <w:tcW w:w="2380" w:type="dxa"/>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lang w:eastAsia="zh-CN"/>
              </w:rPr>
              <w:t>渭高经</w:t>
            </w:r>
            <w:r>
              <w:rPr>
                <w:rFonts w:ascii="Times New Roman" w:hAnsi="Times New Roman" w:cs="Times New Roman"/>
                <w:sz w:val="15"/>
                <w:szCs w:val="15"/>
              </w:rPr>
              <w:t>发[201</w:t>
            </w:r>
            <w:r>
              <w:rPr>
                <w:rFonts w:hint="eastAsia" w:ascii="Times New Roman" w:hAnsi="Times New Roman" w:cs="Times New Roman"/>
                <w:sz w:val="15"/>
                <w:szCs w:val="15"/>
                <w:lang w:val="en-US" w:eastAsia="zh-CN"/>
              </w:rPr>
              <w:t>5</w:t>
            </w:r>
            <w:r>
              <w:rPr>
                <w:rFonts w:ascii="Times New Roman" w:hAnsi="Times New Roman" w:cs="Times New Roman"/>
                <w:sz w:val="15"/>
                <w:szCs w:val="15"/>
              </w:rPr>
              <w:t>]</w:t>
            </w:r>
            <w:r>
              <w:rPr>
                <w:rFonts w:hint="eastAsia" w:ascii="Times New Roman" w:hAnsi="Times New Roman" w:cs="Times New Roman"/>
                <w:sz w:val="15"/>
                <w:szCs w:val="15"/>
                <w:lang w:val="en-US" w:eastAsia="zh-CN"/>
              </w:rPr>
              <w:t>36</w:t>
            </w:r>
            <w:r>
              <w:rPr>
                <w:rFonts w:ascii="Times New Roman" w:hAnsi="Times New Roman" w:cs="Times New Roman"/>
                <w:sz w:val="15"/>
                <w:szCs w:val="15"/>
              </w:rPr>
              <w:t>号</w:t>
            </w:r>
          </w:p>
        </w:tc>
        <w:tc>
          <w:tcPr>
            <w:tcW w:w="1690"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建设地点</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lang w:val="da-DK"/>
              </w:rPr>
              <w:t>陕西渭河煤化工集团有限责任公司（简称渭化集团）厂内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行业类别（分类管理名录）</w:t>
            </w:r>
          </w:p>
        </w:tc>
        <w:tc>
          <w:tcPr>
            <w:tcW w:w="5300" w:type="dxa"/>
            <w:gridSpan w:val="5"/>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rPr>
              <w:t>D4620污水处理及其再生利用</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建设性质</w:t>
            </w:r>
          </w:p>
        </w:tc>
        <w:tc>
          <w:tcPr>
            <w:tcW w:w="4070" w:type="dxa"/>
            <w:gridSpan w:val="3"/>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□新建  √ 改扩建  □技术改造</w:t>
            </w:r>
          </w:p>
        </w:tc>
        <w:tc>
          <w:tcPr>
            <w:tcW w:w="100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项目厂区中心经度/纬度</w:t>
            </w:r>
          </w:p>
        </w:tc>
        <w:tc>
          <w:tcPr>
            <w:tcW w:w="1263"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109°</w:t>
            </w:r>
            <w:r>
              <w:rPr>
                <w:rFonts w:hint="eastAsia" w:ascii="Times New Roman" w:hAnsi="Times New Roman" w:cs="Times New Roman"/>
                <w:sz w:val="15"/>
                <w:szCs w:val="15"/>
                <w:lang w:val="en-US" w:eastAsia="zh-CN"/>
              </w:rPr>
              <w:t>26</w:t>
            </w:r>
            <w:r>
              <w:rPr>
                <w:rFonts w:ascii="Times New Roman" w:hAnsi="Times New Roman" w:cs="Times New Roman"/>
                <w:sz w:val="15"/>
                <w:szCs w:val="15"/>
              </w:rPr>
              <w:t>′</w:t>
            </w:r>
            <w:r>
              <w:rPr>
                <w:rFonts w:hint="eastAsia" w:ascii="Times New Roman" w:hAnsi="Times New Roman" w:cs="Times New Roman"/>
                <w:sz w:val="15"/>
                <w:szCs w:val="15"/>
                <w:lang w:val="en-US" w:eastAsia="zh-CN"/>
              </w:rPr>
              <w:t>19.55</w:t>
            </w:r>
            <w:r>
              <w:rPr>
                <w:rFonts w:ascii="Times New Roman" w:hAnsi="Times New Roman" w:cs="Times New Roman"/>
                <w:sz w:val="15"/>
                <w:szCs w:val="15"/>
              </w:rPr>
              <w:t>″</w:t>
            </w:r>
            <w:r>
              <w:rPr>
                <w:rFonts w:hint="eastAsia" w:ascii="Times New Roman" w:hAnsi="Times New Roman" w:cs="Times New Roman"/>
                <w:sz w:val="15"/>
                <w:szCs w:val="15"/>
                <w:lang w:val="en-US" w:eastAsia="zh-CN"/>
              </w:rPr>
              <w:t>/</w:t>
            </w:r>
            <w:r>
              <w:rPr>
                <w:rFonts w:ascii="Times New Roman" w:hAnsi="Times New Roman" w:cs="Times New Roman"/>
                <w:sz w:val="15"/>
                <w:szCs w:val="15"/>
              </w:rPr>
              <w:t>34°</w:t>
            </w:r>
            <w:r>
              <w:rPr>
                <w:rFonts w:hint="eastAsia" w:ascii="Times New Roman" w:hAnsi="Times New Roman" w:cs="Times New Roman"/>
                <w:sz w:val="15"/>
                <w:szCs w:val="15"/>
                <w:lang w:val="en-US" w:eastAsia="zh-CN"/>
              </w:rPr>
              <w:t>30</w:t>
            </w:r>
            <w:r>
              <w:rPr>
                <w:rFonts w:ascii="Times New Roman" w:hAnsi="Times New Roman" w:cs="Times New Roman"/>
                <w:sz w:val="15"/>
                <w:szCs w:val="15"/>
              </w:rPr>
              <w:t>′</w:t>
            </w:r>
            <w:r>
              <w:rPr>
                <w:rFonts w:hint="eastAsia" w:ascii="Times New Roman" w:hAnsi="Times New Roman" w:cs="Times New Roman"/>
                <w:sz w:val="15"/>
                <w:szCs w:val="15"/>
                <w:lang w:val="en-US" w:eastAsia="zh-CN"/>
              </w:rPr>
              <w:t>0.94</w:t>
            </w:r>
            <w:r>
              <w:rPr>
                <w:rFonts w:ascii="Times New Roman" w:hAnsi="Times New Roman" w:cs="Times New Roman"/>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设计生产能力</w:t>
            </w:r>
          </w:p>
        </w:tc>
        <w:tc>
          <w:tcPr>
            <w:tcW w:w="5300" w:type="dxa"/>
            <w:gridSpan w:val="5"/>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一套220m</w:t>
            </w:r>
            <w:r>
              <w:rPr>
                <w:rFonts w:ascii="Times New Roman" w:hAnsi="Times New Roman" w:cs="Times New Roman"/>
                <w:sz w:val="15"/>
                <w:szCs w:val="15"/>
                <w:vertAlign w:val="superscript"/>
              </w:rPr>
              <w:t>3</w:t>
            </w:r>
            <w:r>
              <w:rPr>
                <w:rFonts w:ascii="Times New Roman" w:hAnsi="Times New Roman" w:cs="Times New Roman"/>
                <w:sz w:val="15"/>
                <w:szCs w:val="15"/>
              </w:rPr>
              <w:t>/h的废水处理装置和</w:t>
            </w:r>
            <w:r>
              <w:rPr>
                <w:rFonts w:ascii="Times New Roman" w:hAnsi="Times New Roman" w:cs="Times New Roman"/>
                <w:sz w:val="15"/>
                <w:szCs w:val="15"/>
                <w:lang w:val="da-DK"/>
              </w:rPr>
              <w:t>一套</w:t>
            </w:r>
            <w:r>
              <w:rPr>
                <w:rFonts w:hint="eastAsia" w:ascii="Times New Roman" w:hAnsi="Times New Roman" w:cs="Times New Roman"/>
                <w:sz w:val="15"/>
                <w:szCs w:val="15"/>
                <w:lang w:val="da-DK"/>
              </w:rPr>
              <w:t>150</w:t>
            </w:r>
            <w:r>
              <w:rPr>
                <w:rFonts w:ascii="Times New Roman" w:hAnsi="Times New Roman" w:cs="Times New Roman"/>
                <w:sz w:val="15"/>
                <w:szCs w:val="15"/>
                <w:lang w:val="da-DK"/>
              </w:rPr>
              <w:t>m</w:t>
            </w:r>
            <w:r>
              <w:rPr>
                <w:rFonts w:ascii="Times New Roman" w:hAnsi="Times New Roman" w:cs="Times New Roman"/>
                <w:sz w:val="15"/>
                <w:szCs w:val="15"/>
                <w:vertAlign w:val="superscript"/>
                <w:lang w:val="da-DK"/>
              </w:rPr>
              <w:t>3</w:t>
            </w:r>
            <w:r>
              <w:rPr>
                <w:rFonts w:ascii="Times New Roman" w:hAnsi="Times New Roman" w:cs="Times New Roman"/>
                <w:sz w:val="15"/>
                <w:szCs w:val="15"/>
                <w:lang w:val="da-DK"/>
              </w:rPr>
              <w:t>/h的中水回用装置</w:t>
            </w:r>
          </w:p>
        </w:tc>
        <w:tc>
          <w:tcPr>
            <w:tcW w:w="1940"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实际生产能力</w:t>
            </w:r>
          </w:p>
        </w:tc>
        <w:tc>
          <w:tcPr>
            <w:tcW w:w="2380" w:type="dxa"/>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sz w:val="15"/>
                <w:szCs w:val="15"/>
              </w:rPr>
              <w:t>一套2</w:t>
            </w:r>
            <w:r>
              <w:rPr>
                <w:rFonts w:hint="eastAsia" w:ascii="Times New Roman" w:hAnsi="Times New Roman" w:cs="Times New Roman"/>
                <w:sz w:val="15"/>
                <w:szCs w:val="15"/>
                <w:lang w:val="en-US" w:eastAsia="zh-CN"/>
              </w:rPr>
              <w:t>0</w:t>
            </w:r>
            <w:r>
              <w:rPr>
                <w:rFonts w:ascii="Times New Roman" w:hAnsi="Times New Roman" w:cs="Times New Roman"/>
                <w:sz w:val="15"/>
                <w:szCs w:val="15"/>
              </w:rPr>
              <w:t>0m</w:t>
            </w:r>
            <w:r>
              <w:rPr>
                <w:rFonts w:ascii="Times New Roman" w:hAnsi="Times New Roman" w:cs="Times New Roman"/>
                <w:sz w:val="15"/>
                <w:szCs w:val="15"/>
                <w:vertAlign w:val="superscript"/>
              </w:rPr>
              <w:t>3</w:t>
            </w:r>
            <w:r>
              <w:rPr>
                <w:rFonts w:ascii="Times New Roman" w:hAnsi="Times New Roman" w:cs="Times New Roman"/>
                <w:sz w:val="15"/>
                <w:szCs w:val="15"/>
              </w:rPr>
              <w:t>/h的废水处理装置和</w:t>
            </w:r>
            <w:r>
              <w:rPr>
                <w:rFonts w:ascii="Times New Roman" w:hAnsi="Times New Roman" w:cs="Times New Roman"/>
                <w:sz w:val="15"/>
                <w:szCs w:val="15"/>
                <w:lang w:val="da-DK"/>
              </w:rPr>
              <w:t>一套</w:t>
            </w:r>
            <w:r>
              <w:rPr>
                <w:rFonts w:hint="eastAsia" w:ascii="Times New Roman" w:hAnsi="Times New Roman" w:cs="Times New Roman"/>
                <w:sz w:val="15"/>
                <w:szCs w:val="15"/>
                <w:lang w:val="da-DK"/>
              </w:rPr>
              <w:t>1</w:t>
            </w:r>
            <w:r>
              <w:rPr>
                <w:rFonts w:hint="eastAsia" w:ascii="Times New Roman" w:hAnsi="Times New Roman" w:cs="Times New Roman"/>
                <w:sz w:val="15"/>
                <w:szCs w:val="15"/>
                <w:lang w:val="en-US" w:eastAsia="zh-CN"/>
              </w:rPr>
              <w:t>4</w:t>
            </w:r>
            <w:r>
              <w:rPr>
                <w:rFonts w:hint="eastAsia" w:ascii="Times New Roman" w:hAnsi="Times New Roman" w:cs="Times New Roman"/>
                <w:sz w:val="15"/>
                <w:szCs w:val="15"/>
                <w:lang w:val="da-DK"/>
              </w:rPr>
              <w:t>0</w:t>
            </w:r>
            <w:r>
              <w:rPr>
                <w:rFonts w:ascii="Times New Roman" w:hAnsi="Times New Roman" w:cs="Times New Roman"/>
                <w:sz w:val="15"/>
                <w:szCs w:val="15"/>
                <w:lang w:val="da-DK"/>
              </w:rPr>
              <w:t>m</w:t>
            </w:r>
            <w:r>
              <w:rPr>
                <w:rFonts w:ascii="Times New Roman" w:hAnsi="Times New Roman" w:cs="Times New Roman"/>
                <w:sz w:val="15"/>
                <w:szCs w:val="15"/>
                <w:vertAlign w:val="superscript"/>
                <w:lang w:val="da-DK"/>
              </w:rPr>
              <w:t>3</w:t>
            </w:r>
            <w:r>
              <w:rPr>
                <w:rFonts w:ascii="Times New Roman" w:hAnsi="Times New Roman" w:cs="Times New Roman"/>
                <w:sz w:val="15"/>
                <w:szCs w:val="15"/>
                <w:lang w:val="da-DK"/>
              </w:rPr>
              <w:t>/h的中水回用装置</w:t>
            </w:r>
          </w:p>
        </w:tc>
        <w:tc>
          <w:tcPr>
            <w:tcW w:w="1690"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环评单位</w:t>
            </w:r>
          </w:p>
        </w:tc>
        <w:tc>
          <w:tcPr>
            <w:tcW w:w="2263" w:type="dxa"/>
            <w:gridSpan w:val="4"/>
            <w:tcMar>
              <w:left w:w="57" w:type="dxa"/>
              <w:right w:w="57" w:type="dxa"/>
            </w:tcMar>
            <w:vAlign w:val="center"/>
          </w:tcPr>
          <w:p>
            <w:pPr>
              <w:jc w:val="center"/>
              <w:rPr>
                <w:rFonts w:hint="eastAsia" w:ascii="Times New Roman" w:hAnsi="Times New Roman" w:eastAsia="宋体" w:cs="Times New Roman"/>
                <w:sz w:val="15"/>
                <w:szCs w:val="15"/>
                <w:lang w:eastAsia="zh-CN"/>
              </w:rPr>
            </w:pPr>
            <w:r>
              <w:rPr>
                <w:rFonts w:hint="eastAsia" w:ascii="Times New Roman" w:hAnsi="Times New Roman" w:cs="Times New Roman"/>
                <w:sz w:val="15"/>
                <w:szCs w:val="15"/>
                <w:lang w:eastAsia="zh-CN"/>
              </w:rPr>
              <w:t>陕西企科环境技术有限公司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环评文件审批机关</w:t>
            </w:r>
          </w:p>
        </w:tc>
        <w:tc>
          <w:tcPr>
            <w:tcW w:w="5300" w:type="dxa"/>
            <w:gridSpan w:val="5"/>
            <w:tcMar>
              <w:left w:w="57" w:type="dxa"/>
              <w:right w:w="57" w:type="dxa"/>
            </w:tcMar>
            <w:vAlign w:val="center"/>
          </w:tcPr>
          <w:p>
            <w:pPr>
              <w:jc w:val="center"/>
              <w:rPr>
                <w:rFonts w:hint="eastAsia" w:ascii="Times New Roman" w:hAnsi="Times New Roman" w:eastAsia="宋体" w:cs="Times New Roman"/>
                <w:sz w:val="15"/>
                <w:szCs w:val="15"/>
                <w:lang w:eastAsia="zh-CN"/>
              </w:rPr>
            </w:pPr>
            <w:r>
              <w:rPr>
                <w:rFonts w:hint="eastAsia" w:ascii="Times New Roman" w:hAnsi="Times New Roman" w:cs="Times New Roman"/>
                <w:sz w:val="15"/>
                <w:szCs w:val="15"/>
                <w:lang w:eastAsia="zh-CN"/>
              </w:rPr>
              <w:t>渭南市环境保护局高新区分局</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审批文号</w:t>
            </w:r>
          </w:p>
        </w:tc>
        <w:tc>
          <w:tcPr>
            <w:tcW w:w="2380" w:type="dxa"/>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lang w:eastAsia="zh-CN"/>
              </w:rPr>
              <w:t>渭高环审</w:t>
            </w:r>
            <w:r>
              <w:rPr>
                <w:rFonts w:ascii="Times New Roman" w:hAnsi="Times New Roman" w:cs="Times New Roman"/>
                <w:sz w:val="15"/>
                <w:szCs w:val="15"/>
              </w:rPr>
              <w:t>[201</w:t>
            </w:r>
            <w:r>
              <w:rPr>
                <w:rFonts w:hint="eastAsia" w:ascii="Times New Roman" w:hAnsi="Times New Roman" w:cs="Times New Roman"/>
                <w:sz w:val="15"/>
                <w:szCs w:val="15"/>
                <w:lang w:val="en-US" w:eastAsia="zh-CN"/>
              </w:rPr>
              <w:t>6</w:t>
            </w:r>
            <w:r>
              <w:rPr>
                <w:rFonts w:ascii="Times New Roman" w:hAnsi="Times New Roman" w:cs="Times New Roman"/>
                <w:sz w:val="15"/>
                <w:szCs w:val="15"/>
              </w:rPr>
              <w:t>]3号</w:t>
            </w:r>
          </w:p>
        </w:tc>
        <w:tc>
          <w:tcPr>
            <w:tcW w:w="169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环评文件类型</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环境影响报告书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开工日期</w:t>
            </w:r>
          </w:p>
        </w:tc>
        <w:tc>
          <w:tcPr>
            <w:tcW w:w="5300" w:type="dxa"/>
            <w:gridSpan w:val="5"/>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201</w:t>
            </w:r>
            <w:r>
              <w:rPr>
                <w:rFonts w:hint="eastAsia" w:ascii="Times New Roman" w:hAnsi="Times New Roman" w:cs="Times New Roman"/>
                <w:sz w:val="15"/>
                <w:szCs w:val="15"/>
                <w:lang w:val="en-US" w:eastAsia="zh-CN"/>
              </w:rPr>
              <w:t>7</w:t>
            </w:r>
            <w:r>
              <w:rPr>
                <w:rFonts w:ascii="Times New Roman" w:hAnsi="Times New Roman" w:cs="Times New Roman"/>
                <w:sz w:val="15"/>
                <w:szCs w:val="15"/>
              </w:rPr>
              <w:t>年1月</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竣工日期</w:t>
            </w:r>
          </w:p>
        </w:tc>
        <w:tc>
          <w:tcPr>
            <w:tcW w:w="2380" w:type="dxa"/>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201</w:t>
            </w:r>
            <w:r>
              <w:rPr>
                <w:rFonts w:hint="eastAsia" w:ascii="Times New Roman" w:hAnsi="Times New Roman" w:cs="Times New Roman"/>
                <w:sz w:val="15"/>
                <w:szCs w:val="15"/>
                <w:lang w:val="en-US" w:eastAsia="zh-CN"/>
              </w:rPr>
              <w:t>7</w:t>
            </w:r>
            <w:r>
              <w:rPr>
                <w:rFonts w:ascii="Times New Roman" w:hAnsi="Times New Roman" w:cs="Times New Roman"/>
                <w:sz w:val="15"/>
                <w:szCs w:val="15"/>
              </w:rPr>
              <w:t>年</w:t>
            </w:r>
            <w:r>
              <w:rPr>
                <w:rFonts w:hint="eastAsia" w:ascii="Times New Roman" w:hAnsi="Times New Roman" w:cs="Times New Roman"/>
                <w:sz w:val="15"/>
                <w:szCs w:val="15"/>
                <w:lang w:val="en-US" w:eastAsia="zh-CN"/>
              </w:rPr>
              <w:t>6</w:t>
            </w:r>
            <w:r>
              <w:rPr>
                <w:rFonts w:ascii="Times New Roman" w:hAnsi="Times New Roman" w:cs="Times New Roman"/>
                <w:sz w:val="15"/>
                <w:szCs w:val="15"/>
              </w:rPr>
              <w:t>月</w:t>
            </w:r>
          </w:p>
        </w:tc>
        <w:tc>
          <w:tcPr>
            <w:tcW w:w="169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排污许可证申领时间</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环保设施设计单位</w:t>
            </w:r>
          </w:p>
        </w:tc>
        <w:tc>
          <w:tcPr>
            <w:tcW w:w="5300" w:type="dxa"/>
            <w:gridSpan w:val="5"/>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环保设施施工单位</w:t>
            </w:r>
          </w:p>
        </w:tc>
        <w:tc>
          <w:tcPr>
            <w:tcW w:w="2380" w:type="dxa"/>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w:t>
            </w:r>
          </w:p>
        </w:tc>
        <w:tc>
          <w:tcPr>
            <w:tcW w:w="169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本工程排污许可证编号</w:t>
            </w:r>
          </w:p>
        </w:tc>
        <w:tc>
          <w:tcPr>
            <w:tcW w:w="2263" w:type="dxa"/>
            <w:gridSpan w:val="4"/>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14"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验收单位</w:t>
            </w:r>
          </w:p>
        </w:tc>
        <w:tc>
          <w:tcPr>
            <w:tcW w:w="5300" w:type="dxa"/>
            <w:gridSpan w:val="5"/>
            <w:tcMar>
              <w:left w:w="57" w:type="dxa"/>
              <w:right w:w="57" w:type="dxa"/>
            </w:tcMar>
            <w:vAlign w:val="center"/>
          </w:tcPr>
          <w:p>
            <w:pPr>
              <w:jc w:val="center"/>
              <w:rPr>
                <w:rFonts w:hint="eastAsia" w:ascii="Times New Roman" w:hAnsi="Times New Roman" w:eastAsia="宋体" w:cs="Times New Roman"/>
                <w:b/>
                <w:sz w:val="15"/>
                <w:szCs w:val="15"/>
                <w:lang w:eastAsia="zh-CN"/>
              </w:rPr>
            </w:pPr>
            <w:r>
              <w:rPr>
                <w:rFonts w:hint="eastAsia" w:ascii="Times New Roman" w:hAnsi="Times New Roman" w:cs="Times New Roman"/>
                <w:sz w:val="15"/>
                <w:szCs w:val="15"/>
                <w:lang w:eastAsia="zh-CN"/>
              </w:rPr>
              <w:t>渭南高新区渭河洁能有限公司</w:t>
            </w:r>
          </w:p>
        </w:tc>
        <w:tc>
          <w:tcPr>
            <w:tcW w:w="194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环保设施监测单位</w:t>
            </w:r>
          </w:p>
        </w:tc>
        <w:tc>
          <w:tcPr>
            <w:tcW w:w="2380" w:type="dxa"/>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西安普惠环境检测技术有限公司</w:t>
            </w:r>
          </w:p>
        </w:tc>
        <w:tc>
          <w:tcPr>
            <w:tcW w:w="169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验收监测时工况</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投资总概算（万元）</w:t>
            </w:r>
          </w:p>
        </w:tc>
        <w:tc>
          <w:tcPr>
            <w:tcW w:w="5300" w:type="dxa"/>
            <w:gridSpan w:val="5"/>
            <w:tcMar>
              <w:left w:w="57" w:type="dxa"/>
              <w:right w:w="57" w:type="dxa"/>
            </w:tcMar>
            <w:vAlign w:val="center"/>
          </w:tcPr>
          <w:p>
            <w:pPr>
              <w:jc w:val="center"/>
              <w:rPr>
                <w:rFonts w:hint="eastAsia" w:ascii="Times New Roman" w:hAnsi="Times New Roman" w:eastAsia="宋体" w:cs="Times New Roman"/>
                <w:b/>
                <w:sz w:val="15"/>
                <w:szCs w:val="15"/>
                <w:lang w:val="en-US" w:eastAsia="zh-CN"/>
              </w:rPr>
            </w:pPr>
            <w:r>
              <w:rPr>
                <w:rFonts w:hint="eastAsia" w:ascii="Times New Roman" w:hAnsi="Times New Roman" w:cs="Times New Roman"/>
                <w:sz w:val="15"/>
                <w:szCs w:val="15"/>
                <w:lang w:val="en-US" w:eastAsia="zh-CN"/>
              </w:rPr>
              <w:t>6979.36</w:t>
            </w:r>
          </w:p>
        </w:tc>
        <w:tc>
          <w:tcPr>
            <w:tcW w:w="1940" w:type="dxa"/>
            <w:gridSpan w:val="2"/>
            <w:tcMar>
              <w:left w:w="57" w:type="dxa"/>
              <w:right w:w="57" w:type="dxa"/>
            </w:tcMar>
            <w:vAlign w:val="center"/>
          </w:tcPr>
          <w:p>
            <w:pPr>
              <w:tabs>
                <w:tab w:val="left" w:pos="690"/>
              </w:tabs>
              <w:jc w:val="center"/>
              <w:rPr>
                <w:rFonts w:ascii="Times New Roman" w:hAnsi="Times New Roman" w:cs="Times New Roman"/>
                <w:sz w:val="15"/>
                <w:szCs w:val="15"/>
              </w:rPr>
            </w:pPr>
            <w:r>
              <w:rPr>
                <w:rFonts w:ascii="Times New Roman" w:hAnsi="Times New Roman" w:cs="Times New Roman"/>
                <w:b/>
                <w:sz w:val="15"/>
                <w:szCs w:val="15"/>
              </w:rPr>
              <w:t>环保投资总概算（万元）</w:t>
            </w:r>
          </w:p>
        </w:tc>
        <w:tc>
          <w:tcPr>
            <w:tcW w:w="238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219.3</w:t>
            </w:r>
          </w:p>
        </w:tc>
        <w:tc>
          <w:tcPr>
            <w:tcW w:w="1690" w:type="dxa"/>
            <w:gridSpan w:val="2"/>
            <w:tcMar>
              <w:left w:w="57" w:type="dxa"/>
              <w:right w:w="57" w:type="dxa"/>
            </w:tcMar>
            <w:vAlign w:val="center"/>
          </w:tcPr>
          <w:p>
            <w:pPr>
              <w:tabs>
                <w:tab w:val="left" w:pos="690"/>
              </w:tabs>
              <w:jc w:val="center"/>
              <w:rPr>
                <w:rFonts w:ascii="Times New Roman" w:hAnsi="Times New Roman" w:cs="Times New Roman"/>
                <w:sz w:val="15"/>
                <w:szCs w:val="15"/>
              </w:rPr>
            </w:pPr>
            <w:r>
              <w:rPr>
                <w:rFonts w:ascii="Times New Roman" w:hAnsi="Times New Roman" w:cs="Times New Roman"/>
                <w:b/>
                <w:sz w:val="15"/>
                <w:szCs w:val="15"/>
              </w:rPr>
              <w:t>所占比例（%）</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lang w:val="en-US" w:eastAsia="zh-CN"/>
              </w:rPr>
              <w:t>3.14</w:t>
            </w:r>
            <w:r>
              <w:rPr>
                <w:rFonts w:ascii="Times New Roman" w:hAnsi="Times New Roman" w:cs="Times New Roman"/>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实际总投资</w:t>
            </w:r>
          </w:p>
        </w:tc>
        <w:tc>
          <w:tcPr>
            <w:tcW w:w="5300" w:type="dxa"/>
            <w:gridSpan w:val="5"/>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color w:val="auto"/>
                <w:sz w:val="15"/>
                <w:szCs w:val="15"/>
                <w:lang w:val="en-US" w:eastAsia="zh-CN"/>
              </w:rPr>
              <w:t>4713</w:t>
            </w:r>
          </w:p>
        </w:tc>
        <w:tc>
          <w:tcPr>
            <w:tcW w:w="1940" w:type="dxa"/>
            <w:gridSpan w:val="2"/>
            <w:tcMar>
              <w:left w:w="57" w:type="dxa"/>
              <w:right w:w="57" w:type="dxa"/>
            </w:tcMar>
            <w:vAlign w:val="center"/>
          </w:tcPr>
          <w:p>
            <w:pPr>
              <w:ind w:right="300"/>
              <w:jc w:val="center"/>
              <w:rPr>
                <w:rFonts w:ascii="Times New Roman" w:hAnsi="Times New Roman" w:cs="Times New Roman"/>
                <w:b/>
                <w:sz w:val="15"/>
                <w:szCs w:val="15"/>
              </w:rPr>
            </w:pPr>
            <w:r>
              <w:rPr>
                <w:rFonts w:ascii="Times New Roman" w:hAnsi="Times New Roman" w:cs="Times New Roman"/>
                <w:b/>
                <w:sz w:val="15"/>
                <w:szCs w:val="15"/>
              </w:rPr>
              <w:t>实际环保投资（万元）</w:t>
            </w:r>
          </w:p>
        </w:tc>
        <w:tc>
          <w:tcPr>
            <w:tcW w:w="238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355</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所占比例（%）</w:t>
            </w:r>
          </w:p>
        </w:tc>
        <w:tc>
          <w:tcPr>
            <w:tcW w:w="2263" w:type="dxa"/>
            <w:gridSpan w:val="4"/>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7.5</w:t>
            </w:r>
            <w:r>
              <w:rPr>
                <w:rFonts w:ascii="Times New Roman" w:hAnsi="Times New Roman" w:cs="Times New Roman"/>
                <w:color w:val="auto"/>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废水治理（万元）</w:t>
            </w:r>
          </w:p>
        </w:tc>
        <w:tc>
          <w:tcPr>
            <w:tcW w:w="85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220</w:t>
            </w:r>
          </w:p>
        </w:tc>
        <w:tc>
          <w:tcPr>
            <w:tcW w:w="123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废气治理（万元）</w:t>
            </w:r>
          </w:p>
        </w:tc>
        <w:tc>
          <w:tcPr>
            <w:tcW w:w="1050" w:type="dxa"/>
            <w:tcMar>
              <w:left w:w="57" w:type="dxa"/>
              <w:right w:w="57" w:type="dxa"/>
            </w:tcMar>
            <w:vAlign w:val="center"/>
          </w:tcPr>
          <w:p>
            <w:pPr>
              <w:jc w:val="center"/>
              <w:rPr>
                <w:rFonts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8</w:t>
            </w:r>
            <w:r>
              <w:rPr>
                <w:rFonts w:ascii="Times New Roman" w:hAnsi="Times New Roman" w:cs="Times New Roman"/>
                <w:color w:val="auto"/>
                <w:sz w:val="15"/>
                <w:szCs w:val="15"/>
              </w:rPr>
              <w:t>0</w:t>
            </w:r>
          </w:p>
        </w:tc>
        <w:tc>
          <w:tcPr>
            <w:tcW w:w="880" w:type="dxa"/>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噪声治理（万元）</w:t>
            </w:r>
          </w:p>
        </w:tc>
        <w:tc>
          <w:tcPr>
            <w:tcW w:w="1290" w:type="dxa"/>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color w:val="auto"/>
                <w:sz w:val="15"/>
                <w:szCs w:val="15"/>
              </w:rPr>
              <w:t>50</w:t>
            </w:r>
          </w:p>
        </w:tc>
        <w:tc>
          <w:tcPr>
            <w:tcW w:w="1940" w:type="dxa"/>
            <w:gridSpan w:val="2"/>
            <w:tcMar>
              <w:left w:w="57" w:type="dxa"/>
              <w:right w:w="57" w:type="dxa"/>
            </w:tcMar>
            <w:vAlign w:val="center"/>
          </w:tcPr>
          <w:p>
            <w:pPr>
              <w:jc w:val="center"/>
              <w:rPr>
                <w:rFonts w:ascii="Times New Roman" w:hAnsi="Times New Roman" w:cs="Times New Roman"/>
                <w:color w:val="auto"/>
                <w:sz w:val="15"/>
                <w:szCs w:val="15"/>
              </w:rPr>
            </w:pPr>
            <w:r>
              <w:rPr>
                <w:rFonts w:ascii="Times New Roman" w:hAnsi="Times New Roman" w:cs="Times New Roman"/>
                <w:b/>
                <w:color w:val="auto"/>
                <w:sz w:val="15"/>
                <w:szCs w:val="15"/>
              </w:rPr>
              <w:t>固体废物治理（万元）</w:t>
            </w:r>
          </w:p>
        </w:tc>
        <w:tc>
          <w:tcPr>
            <w:tcW w:w="2380" w:type="dxa"/>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val="en-US" w:eastAsia="zh-CN"/>
              </w:rPr>
              <w:t>5</w:t>
            </w:r>
          </w:p>
        </w:tc>
        <w:tc>
          <w:tcPr>
            <w:tcW w:w="16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绿化及生态（万元）</w:t>
            </w:r>
          </w:p>
        </w:tc>
        <w:tc>
          <w:tcPr>
            <w:tcW w:w="590" w:type="dxa"/>
            <w:tcMar>
              <w:left w:w="57" w:type="dxa"/>
              <w:right w:w="57" w:type="dxa"/>
            </w:tcMar>
            <w:vAlign w:val="center"/>
          </w:tcPr>
          <w:p>
            <w:pPr>
              <w:jc w:val="center"/>
              <w:rPr>
                <w:rFonts w:hint="eastAsia"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val="en-US" w:eastAsia="zh-CN"/>
              </w:rPr>
              <w:t>0</w:t>
            </w:r>
          </w:p>
        </w:tc>
        <w:tc>
          <w:tcPr>
            <w:tcW w:w="990" w:type="dxa"/>
            <w:gridSpan w:val="2"/>
            <w:tcMar>
              <w:left w:w="57" w:type="dxa"/>
              <w:right w:w="57" w:type="dxa"/>
            </w:tcMar>
            <w:vAlign w:val="center"/>
          </w:tcPr>
          <w:p>
            <w:pPr>
              <w:jc w:val="center"/>
              <w:rPr>
                <w:rFonts w:ascii="Times New Roman" w:hAnsi="Times New Roman" w:cs="Times New Roman"/>
                <w:b/>
                <w:color w:val="auto"/>
                <w:sz w:val="15"/>
                <w:szCs w:val="15"/>
              </w:rPr>
            </w:pPr>
            <w:r>
              <w:rPr>
                <w:rFonts w:ascii="Times New Roman" w:hAnsi="Times New Roman" w:cs="Times New Roman"/>
                <w:b/>
                <w:color w:val="auto"/>
                <w:sz w:val="15"/>
                <w:szCs w:val="15"/>
              </w:rPr>
              <w:t>其他（万元）</w:t>
            </w:r>
          </w:p>
        </w:tc>
        <w:tc>
          <w:tcPr>
            <w:tcW w:w="683"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rPr>
                <w:rFonts w:ascii="Times New Roman" w:hAnsi="Times New Roman" w:cs="Times New Roman"/>
                <w:sz w:val="15"/>
                <w:szCs w:val="15"/>
              </w:rPr>
            </w:pPr>
          </w:p>
        </w:tc>
        <w:tc>
          <w:tcPr>
            <w:tcW w:w="1873"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新增废水处理设施能力</w:t>
            </w:r>
          </w:p>
        </w:tc>
        <w:tc>
          <w:tcPr>
            <w:tcW w:w="5300" w:type="dxa"/>
            <w:gridSpan w:val="5"/>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w:t>
            </w:r>
          </w:p>
        </w:tc>
        <w:tc>
          <w:tcPr>
            <w:tcW w:w="1940"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新增废气处理设施能力</w:t>
            </w:r>
          </w:p>
        </w:tc>
        <w:tc>
          <w:tcPr>
            <w:tcW w:w="2380" w:type="dxa"/>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w:t>
            </w:r>
          </w:p>
        </w:tc>
        <w:tc>
          <w:tcPr>
            <w:tcW w:w="1690" w:type="dxa"/>
            <w:gridSpan w:val="2"/>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年平均工作时间</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color w:val="auto"/>
                <w:sz w:val="15"/>
                <w:szCs w:val="15"/>
                <w:lang w:val="en-US" w:eastAsia="zh-CN"/>
              </w:rPr>
              <w:t>8760</w:t>
            </w:r>
            <w:r>
              <w:rPr>
                <w:rFonts w:ascii="Times New Roman" w:hAnsi="Times New Roman" w:cs="Times New Roman"/>
                <w:color w:val="auto"/>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2303" w:type="dxa"/>
            <w:gridSpan w:val="4"/>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运营单位</w:t>
            </w:r>
          </w:p>
        </w:tc>
        <w:tc>
          <w:tcPr>
            <w:tcW w:w="4010" w:type="dxa"/>
            <w:gridSpan w:val="4"/>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sz w:val="15"/>
                <w:szCs w:val="15"/>
                <w:lang w:eastAsia="zh-CN"/>
              </w:rPr>
              <w:t>渭南高新区渭河洁能有限公司</w:t>
            </w:r>
          </w:p>
        </w:tc>
        <w:tc>
          <w:tcPr>
            <w:tcW w:w="3230" w:type="dxa"/>
            <w:gridSpan w:val="3"/>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b/>
                <w:sz w:val="15"/>
                <w:szCs w:val="15"/>
              </w:rPr>
              <w:t>运营单位社会统一信用代码（或组织机构代码）</w:t>
            </w:r>
          </w:p>
        </w:tc>
        <w:tc>
          <w:tcPr>
            <w:tcW w:w="2380" w:type="dxa"/>
            <w:tcMar>
              <w:left w:w="57" w:type="dxa"/>
              <w:right w:w="57" w:type="dxa"/>
            </w:tcMar>
            <w:vAlign w:val="center"/>
          </w:tcPr>
          <w:p>
            <w:pPr>
              <w:widowControl/>
              <w:jc w:val="center"/>
              <w:rPr>
                <w:rFonts w:ascii="Times New Roman" w:hAnsi="Times New Roman" w:cs="Times New Roman"/>
                <w:sz w:val="15"/>
                <w:szCs w:val="15"/>
              </w:rPr>
            </w:pPr>
            <w:r>
              <w:rPr>
                <w:rFonts w:hint="eastAsia" w:ascii="Times New Roman" w:hAnsi="Times New Roman" w:cs="Times New Roman"/>
                <w:sz w:val="15"/>
                <w:szCs w:val="15"/>
              </w:rPr>
              <w:t xml:space="preserve"> 91610501748625780L</w:t>
            </w:r>
          </w:p>
        </w:tc>
        <w:tc>
          <w:tcPr>
            <w:tcW w:w="1690" w:type="dxa"/>
            <w:gridSpan w:val="2"/>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验收时间</w:t>
            </w:r>
          </w:p>
        </w:tc>
        <w:tc>
          <w:tcPr>
            <w:tcW w:w="2263" w:type="dxa"/>
            <w:gridSpan w:val="4"/>
            <w:tcMar>
              <w:left w:w="57" w:type="dxa"/>
              <w:right w:w="57" w:type="dxa"/>
            </w:tcMar>
            <w:vAlign w:val="center"/>
          </w:tcPr>
          <w:p>
            <w:pPr>
              <w:jc w:val="center"/>
              <w:rPr>
                <w:rFonts w:ascii="Times New Roman" w:hAnsi="Times New Roman" w:cs="Times New Roman"/>
                <w:sz w:val="15"/>
                <w:szCs w:val="15"/>
              </w:rPr>
            </w:pPr>
            <w:r>
              <w:rPr>
                <w:rFonts w:ascii="Times New Roman" w:hAnsi="Times New Roman" w:cs="Times New Roman"/>
                <w:sz w:val="15"/>
                <w:szCs w:val="15"/>
              </w:rPr>
              <w:t>2018年</w:t>
            </w:r>
            <w:r>
              <w:rPr>
                <w:rFonts w:hint="eastAsia" w:ascii="Times New Roman" w:hAnsi="Times New Roman" w:cs="Times New Roman"/>
                <w:sz w:val="15"/>
                <w:szCs w:val="15"/>
                <w:lang w:val="en-US" w:eastAsia="zh-CN"/>
              </w:rPr>
              <w:t>11</w:t>
            </w:r>
            <w:r>
              <w:rPr>
                <w:rFonts w:ascii="Times New Roman" w:hAnsi="Times New Roman" w:cs="Times New Roman"/>
                <w:sz w:val="15"/>
                <w:szCs w:val="15"/>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污染</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物排</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放达</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标与</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总量</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控制（工</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业建</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设项</w:t>
            </w:r>
          </w:p>
          <w:p>
            <w:pPr>
              <w:rPr>
                <w:rFonts w:ascii="Times New Roman" w:hAnsi="Times New Roman" w:eastAsia="黑体" w:cs="Times New Roman"/>
                <w:b/>
                <w:spacing w:val="20"/>
                <w:sz w:val="15"/>
                <w:szCs w:val="15"/>
              </w:rPr>
            </w:pPr>
            <w:r>
              <w:rPr>
                <w:rFonts w:ascii="Times New Roman" w:hAnsi="Times New Roman" w:eastAsia="黑体" w:cs="Times New Roman"/>
                <w:b/>
                <w:spacing w:val="20"/>
                <w:sz w:val="15"/>
                <w:szCs w:val="15"/>
              </w:rPr>
              <w:t>目详填）</w:t>
            </w:r>
          </w:p>
        </w:tc>
        <w:tc>
          <w:tcPr>
            <w:tcW w:w="1705" w:type="dxa"/>
            <w:gridSpan w:val="2"/>
            <w:tcMar>
              <w:left w:w="57" w:type="dxa"/>
              <w:right w:w="57" w:type="dxa"/>
            </w:tcMar>
            <w:vAlign w:val="center"/>
          </w:tcPr>
          <w:p>
            <w:pPr>
              <w:rPr>
                <w:rFonts w:ascii="Times New Roman" w:hAnsi="Times New Roman" w:cs="Times New Roman"/>
                <w:sz w:val="15"/>
                <w:szCs w:val="15"/>
              </w:rPr>
            </w:pPr>
            <w:r>
              <w:rPr>
                <w:rFonts w:ascii="Times New Roman" w:hAnsi="Times New Roman" w:cs="Times New Roman"/>
                <w:b/>
                <w:sz w:val="15"/>
                <w:szCs w:val="15"/>
              </w:rPr>
              <w:t>污染物</w:t>
            </w:r>
          </w:p>
        </w:tc>
        <w:tc>
          <w:tcPr>
            <w:tcW w:w="85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原有排放量(1)</w:t>
            </w:r>
          </w:p>
        </w:tc>
        <w:tc>
          <w:tcPr>
            <w:tcW w:w="123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本期工程实际排放浓度(2)</w:t>
            </w:r>
          </w:p>
        </w:tc>
        <w:tc>
          <w:tcPr>
            <w:tcW w:w="105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本期工程允许排放浓度(3)</w:t>
            </w:r>
          </w:p>
        </w:tc>
        <w:tc>
          <w:tcPr>
            <w:tcW w:w="88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本期工程产生量(4)</w:t>
            </w:r>
          </w:p>
        </w:tc>
        <w:tc>
          <w:tcPr>
            <w:tcW w:w="129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本期工程自身削减量(5)</w:t>
            </w:r>
          </w:p>
        </w:tc>
        <w:tc>
          <w:tcPr>
            <w:tcW w:w="96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本期工程实际排放量(6)</w:t>
            </w:r>
          </w:p>
        </w:tc>
        <w:tc>
          <w:tcPr>
            <w:tcW w:w="980" w:type="dxa"/>
            <w:tcMar>
              <w:left w:w="57" w:type="dxa"/>
              <w:right w:w="57" w:type="dxa"/>
            </w:tcMar>
            <w:vAlign w:val="center"/>
          </w:tcPr>
          <w:p>
            <w:pPr>
              <w:jc w:val="center"/>
              <w:rPr>
                <w:rFonts w:ascii="Times New Roman" w:hAnsi="Times New Roman" w:cs="Times New Roman"/>
                <w:b/>
                <w:sz w:val="15"/>
                <w:szCs w:val="15"/>
              </w:rPr>
            </w:pPr>
            <w:r>
              <w:rPr>
                <w:rFonts w:ascii="Times New Roman" w:hAnsi="Times New Roman" w:cs="Times New Roman"/>
                <w:b/>
                <w:sz w:val="15"/>
                <w:szCs w:val="15"/>
              </w:rPr>
              <w:t>本期工程核定排放总量(7)</w:t>
            </w:r>
          </w:p>
        </w:tc>
        <w:tc>
          <w:tcPr>
            <w:tcW w:w="238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本期工程“以新带老”削减量(8)</w:t>
            </w:r>
          </w:p>
        </w:tc>
        <w:tc>
          <w:tcPr>
            <w:tcW w:w="1100"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全厂实际排放总量(9)</w:t>
            </w:r>
          </w:p>
        </w:tc>
        <w:tc>
          <w:tcPr>
            <w:tcW w:w="1180"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全厂核定排放总量(10)</w:t>
            </w:r>
          </w:p>
        </w:tc>
        <w:tc>
          <w:tcPr>
            <w:tcW w:w="990"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区域平衡替代削减量(11)</w:t>
            </w:r>
          </w:p>
        </w:tc>
        <w:tc>
          <w:tcPr>
            <w:tcW w:w="683" w:type="dxa"/>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center"/>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sz w:val="15"/>
                <w:szCs w:val="15"/>
              </w:rPr>
            </w:pPr>
            <w:r>
              <w:rPr>
                <w:rFonts w:ascii="Times New Roman" w:hAnsi="Times New Roman" w:cs="Times New Roman"/>
                <w:b/>
                <w:sz w:val="15"/>
                <w:szCs w:val="15"/>
              </w:rPr>
              <w:t>废水</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r>
              <w:rPr>
                <w:rFonts w:hint="eastAsia" w:ascii="Times New Roman" w:hAnsi="Times New Roman" w:cs="Times New Roman"/>
                <w:color w:val="auto"/>
                <w:sz w:val="15"/>
                <w:szCs w:val="15"/>
                <w:lang w:val="en-US" w:eastAsia="zh-CN"/>
              </w:rPr>
              <w:t>175.2</w:t>
            </w:r>
          </w:p>
        </w:tc>
        <w:tc>
          <w:tcPr>
            <w:tcW w:w="98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192.7</w:t>
            </w: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293.5</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396.8</w:t>
            </w: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化学需氧量</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2.65</w:t>
            </w:r>
          </w:p>
        </w:tc>
        <w:tc>
          <w:tcPr>
            <w:tcW w:w="98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2.65</w:t>
            </w: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880.5</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990</w:t>
            </w: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氨氮</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0.024</w:t>
            </w:r>
          </w:p>
        </w:tc>
        <w:tc>
          <w:tcPr>
            <w:tcW w:w="98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0.024</w:t>
            </w: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73.4</w:t>
            </w:r>
          </w:p>
        </w:tc>
        <w:tc>
          <w:tcPr>
            <w:tcW w:w="1180" w:type="dxa"/>
            <w:gridSpan w:val="2"/>
            <w:tcMar>
              <w:left w:w="57" w:type="dxa"/>
              <w:right w:w="57" w:type="dxa"/>
            </w:tcMar>
            <w:vAlign w:val="center"/>
          </w:tcPr>
          <w:p>
            <w:pPr>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82.5</w:t>
            </w: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石油类</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color w:val="FF0000"/>
                <w:sz w:val="15"/>
                <w:szCs w:val="15"/>
              </w:rPr>
            </w:pPr>
          </w:p>
        </w:tc>
        <w:tc>
          <w:tcPr>
            <w:tcW w:w="1180" w:type="dxa"/>
            <w:gridSpan w:val="2"/>
            <w:tcMar>
              <w:left w:w="57" w:type="dxa"/>
              <w:right w:w="57" w:type="dxa"/>
            </w:tcMar>
            <w:vAlign w:val="center"/>
          </w:tcPr>
          <w:p>
            <w:pPr>
              <w:jc w:val="center"/>
              <w:rPr>
                <w:rFonts w:ascii="Times New Roman" w:hAnsi="Times New Roman" w:cs="Times New Roman"/>
                <w:color w:val="FF0000"/>
                <w:sz w:val="15"/>
                <w:szCs w:val="15"/>
              </w:rPr>
            </w:pP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eastAsia="黑体" w:cs="Times New Roman"/>
                <w:b/>
                <w:sz w:val="15"/>
                <w:szCs w:val="15"/>
              </w:rPr>
            </w:pPr>
            <w:r>
              <w:rPr>
                <w:rFonts w:ascii="Times New Roman" w:hAnsi="Times New Roman" w:cs="Times New Roman"/>
                <w:b/>
                <w:sz w:val="15"/>
                <w:szCs w:val="15"/>
              </w:rPr>
              <w:t>废气</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color w:val="FF0000"/>
                <w:sz w:val="15"/>
                <w:szCs w:val="15"/>
              </w:rPr>
            </w:pPr>
          </w:p>
        </w:tc>
        <w:tc>
          <w:tcPr>
            <w:tcW w:w="1180" w:type="dxa"/>
            <w:gridSpan w:val="2"/>
            <w:tcMar>
              <w:left w:w="57" w:type="dxa"/>
              <w:right w:w="57" w:type="dxa"/>
            </w:tcMar>
            <w:vAlign w:val="center"/>
          </w:tcPr>
          <w:p>
            <w:pPr>
              <w:jc w:val="center"/>
              <w:rPr>
                <w:rFonts w:ascii="Times New Roman" w:hAnsi="Times New Roman" w:cs="Times New Roman"/>
                <w:color w:val="FF0000"/>
                <w:sz w:val="15"/>
                <w:szCs w:val="15"/>
              </w:rPr>
            </w:pP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二氧化硫</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color w:val="FF0000"/>
                <w:sz w:val="15"/>
                <w:szCs w:val="15"/>
              </w:rPr>
            </w:pPr>
          </w:p>
        </w:tc>
        <w:tc>
          <w:tcPr>
            <w:tcW w:w="1180" w:type="dxa"/>
            <w:gridSpan w:val="2"/>
            <w:tcMar>
              <w:left w:w="57" w:type="dxa"/>
              <w:right w:w="57" w:type="dxa"/>
            </w:tcMar>
            <w:vAlign w:val="center"/>
          </w:tcPr>
          <w:p>
            <w:pPr>
              <w:jc w:val="center"/>
              <w:rPr>
                <w:rFonts w:ascii="Times New Roman" w:hAnsi="Times New Roman" w:cs="Times New Roman"/>
                <w:color w:val="FF0000"/>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sz w:val="15"/>
                <w:szCs w:val="15"/>
              </w:rPr>
            </w:pPr>
          </w:p>
        </w:tc>
        <w:tc>
          <w:tcPr>
            <w:tcW w:w="683" w:type="dxa"/>
            <w:tcMar>
              <w:left w:w="57" w:type="dxa"/>
              <w:right w:w="57" w:type="dxa"/>
            </w:tcMar>
            <w:vAlign w:val="center"/>
          </w:tcPr>
          <w:p>
            <w:pPr>
              <w:jc w:val="center"/>
              <w:textAlignment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烟尘</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color w:val="FF0000"/>
                <w:sz w:val="15"/>
                <w:szCs w:val="15"/>
              </w:rPr>
            </w:pPr>
          </w:p>
        </w:tc>
        <w:tc>
          <w:tcPr>
            <w:tcW w:w="1180" w:type="dxa"/>
            <w:gridSpan w:val="2"/>
            <w:tcMar>
              <w:left w:w="57" w:type="dxa"/>
              <w:right w:w="57" w:type="dxa"/>
            </w:tcMar>
            <w:vAlign w:val="center"/>
          </w:tcPr>
          <w:p>
            <w:pPr>
              <w:jc w:val="center"/>
              <w:rPr>
                <w:rFonts w:ascii="Times New Roman" w:hAnsi="Times New Roman" w:cs="Times New Roman"/>
                <w:color w:val="FF0000"/>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sz w:val="15"/>
                <w:szCs w:val="15"/>
              </w:rPr>
            </w:pPr>
          </w:p>
        </w:tc>
        <w:tc>
          <w:tcPr>
            <w:tcW w:w="683" w:type="dxa"/>
            <w:tcMar>
              <w:left w:w="57" w:type="dxa"/>
              <w:right w:w="57" w:type="dxa"/>
            </w:tcMar>
            <w:vAlign w:val="center"/>
          </w:tcPr>
          <w:p>
            <w:pPr>
              <w:jc w:val="center"/>
              <w:textAlignment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工业粉尘</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sz w:val="15"/>
                <w:szCs w:val="15"/>
              </w:rPr>
            </w:pPr>
          </w:p>
        </w:tc>
        <w:tc>
          <w:tcPr>
            <w:tcW w:w="1180" w:type="dxa"/>
            <w:gridSpan w:val="2"/>
            <w:tcMar>
              <w:left w:w="57" w:type="dxa"/>
              <w:right w:w="57" w:type="dxa"/>
            </w:tcMar>
            <w:vAlign w:val="center"/>
          </w:tcPr>
          <w:p>
            <w:pPr>
              <w:jc w:val="center"/>
              <w:rPr>
                <w:rFonts w:ascii="Times New Roman" w:hAnsi="Times New Roman" w:cs="Times New Roman"/>
                <w:sz w:val="15"/>
                <w:szCs w:val="15"/>
              </w:rPr>
            </w:pP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cs="Times New Roman"/>
                <w:b/>
                <w:sz w:val="15"/>
                <w:szCs w:val="15"/>
              </w:rPr>
            </w:pPr>
            <w:r>
              <w:rPr>
                <w:rFonts w:ascii="Times New Roman" w:hAnsi="Times New Roman" w:cs="Times New Roman"/>
                <w:b/>
                <w:sz w:val="15"/>
                <w:szCs w:val="15"/>
              </w:rPr>
              <w:t>氮氧化物</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sz w:val="15"/>
                <w:szCs w:val="15"/>
              </w:rPr>
            </w:pPr>
          </w:p>
        </w:tc>
        <w:tc>
          <w:tcPr>
            <w:tcW w:w="1180" w:type="dxa"/>
            <w:gridSpan w:val="2"/>
            <w:tcMar>
              <w:left w:w="57" w:type="dxa"/>
              <w:right w:w="57" w:type="dxa"/>
            </w:tcMar>
            <w:vAlign w:val="center"/>
          </w:tcPr>
          <w:p>
            <w:pPr>
              <w:jc w:val="center"/>
              <w:rPr>
                <w:rFonts w:ascii="Times New Roman" w:hAnsi="Times New Roman" w:cs="Times New Roman"/>
                <w:sz w:val="15"/>
                <w:szCs w:val="15"/>
              </w:rPr>
            </w:pPr>
          </w:p>
        </w:tc>
        <w:tc>
          <w:tcPr>
            <w:tcW w:w="990" w:type="dxa"/>
            <w:gridSpan w:val="2"/>
            <w:tcMar>
              <w:left w:w="57" w:type="dxa"/>
              <w:right w:w="57" w:type="dxa"/>
            </w:tcMar>
            <w:vAlign w:val="center"/>
          </w:tcPr>
          <w:p>
            <w:pPr>
              <w:jc w:val="center"/>
              <w:textAlignment w:val="center"/>
              <w:rPr>
                <w:rFonts w:ascii="Times New Roman" w:hAnsi="Times New Roman" w:cs="Times New Roman"/>
                <w:sz w:val="15"/>
                <w:szCs w:val="15"/>
              </w:rPr>
            </w:pPr>
          </w:p>
        </w:tc>
        <w:tc>
          <w:tcPr>
            <w:tcW w:w="683" w:type="dxa"/>
            <w:tcMar>
              <w:left w:w="57" w:type="dxa"/>
              <w:right w:w="57" w:type="dxa"/>
            </w:tcMar>
            <w:vAlign w:val="center"/>
          </w:tcPr>
          <w:p>
            <w:pPr>
              <w:jc w:val="center"/>
              <w:textAlignment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705" w:type="dxa"/>
            <w:gridSpan w:val="2"/>
            <w:tcMar>
              <w:left w:w="57" w:type="dxa"/>
              <w:right w:w="57" w:type="dxa"/>
            </w:tcMar>
            <w:vAlign w:val="center"/>
          </w:tcPr>
          <w:p>
            <w:pPr>
              <w:rPr>
                <w:rFonts w:ascii="Times New Roman" w:hAnsi="Times New Roman" w:eastAsia="黑体" w:cs="Times New Roman"/>
                <w:b/>
                <w:sz w:val="15"/>
                <w:szCs w:val="15"/>
              </w:rPr>
            </w:pPr>
            <w:r>
              <w:rPr>
                <w:rFonts w:ascii="Times New Roman" w:hAnsi="Times New Roman" w:cs="Times New Roman"/>
                <w:b/>
                <w:color w:val="auto"/>
                <w:sz w:val="15"/>
                <w:szCs w:val="15"/>
              </w:rPr>
              <w:t>工业固体废物</w:t>
            </w: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85.0</w:t>
            </w:r>
          </w:p>
        </w:tc>
        <w:tc>
          <w:tcPr>
            <w:tcW w:w="98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85.0</w:t>
            </w: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200.0</w:t>
            </w:r>
          </w:p>
        </w:tc>
        <w:tc>
          <w:tcPr>
            <w:tcW w:w="1180" w:type="dxa"/>
            <w:gridSpan w:val="2"/>
            <w:tcMar>
              <w:left w:w="57" w:type="dxa"/>
              <w:right w:w="57" w:type="dxa"/>
            </w:tcMar>
            <w:vAlign w:val="center"/>
          </w:tcPr>
          <w:p>
            <w:pPr>
              <w:jc w:val="center"/>
              <w:rPr>
                <w:rFonts w:hint="eastAsia" w:ascii="Times New Roman" w:hAnsi="Times New Roman" w:eastAsia="宋体" w:cs="Times New Roman"/>
                <w:sz w:val="15"/>
                <w:szCs w:val="15"/>
                <w:lang w:val="en-US" w:eastAsia="zh-CN"/>
              </w:rPr>
            </w:pPr>
            <w:r>
              <w:rPr>
                <w:rFonts w:hint="eastAsia" w:ascii="Times New Roman" w:hAnsi="Times New Roman" w:cs="Times New Roman"/>
                <w:sz w:val="15"/>
                <w:szCs w:val="15"/>
                <w:lang w:val="en-US" w:eastAsia="zh-CN"/>
              </w:rPr>
              <w:t>200.0</w:t>
            </w: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099" w:type="dxa"/>
            <w:vMerge w:val="restart"/>
            <w:tcMar>
              <w:left w:w="57" w:type="dxa"/>
              <w:right w:w="57" w:type="dxa"/>
            </w:tcMar>
            <w:vAlign w:val="top"/>
          </w:tcPr>
          <w:p>
            <w:pPr>
              <w:rPr>
                <w:rFonts w:ascii="Times New Roman" w:hAnsi="Times New Roman" w:cs="Times New Roman"/>
                <w:sz w:val="15"/>
                <w:szCs w:val="15"/>
              </w:rPr>
            </w:pPr>
            <w:r>
              <w:rPr>
                <w:rFonts w:ascii="Times New Roman" w:hAnsi="Times New Roman" w:cs="Times New Roman"/>
                <w:b/>
                <w:sz w:val="15"/>
                <w:szCs w:val="15"/>
              </w:rPr>
              <w:t>与项目有关的其他特征污染物</w:t>
            </w:r>
          </w:p>
        </w:tc>
        <w:tc>
          <w:tcPr>
            <w:tcW w:w="606" w:type="dxa"/>
            <w:tcMar>
              <w:left w:w="57" w:type="dxa"/>
              <w:right w:w="57" w:type="dxa"/>
            </w:tcMar>
            <w:vAlign w:val="center"/>
          </w:tcPr>
          <w:p>
            <w:pPr>
              <w:rPr>
                <w:rFonts w:ascii="Times New Roman" w:hAnsi="Times New Roman" w:cs="Times New Roman"/>
                <w:sz w:val="15"/>
                <w:szCs w:val="15"/>
              </w:rPr>
            </w:pP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sz w:val="15"/>
                <w:szCs w:val="15"/>
              </w:rPr>
            </w:pPr>
          </w:p>
        </w:tc>
        <w:tc>
          <w:tcPr>
            <w:tcW w:w="1180" w:type="dxa"/>
            <w:gridSpan w:val="2"/>
            <w:tcMar>
              <w:left w:w="57" w:type="dxa"/>
              <w:right w:w="57" w:type="dxa"/>
            </w:tcMar>
            <w:vAlign w:val="center"/>
          </w:tcPr>
          <w:p>
            <w:pPr>
              <w:jc w:val="center"/>
              <w:rPr>
                <w:rFonts w:ascii="Times New Roman" w:hAnsi="Times New Roman" w:cs="Times New Roman"/>
                <w:sz w:val="15"/>
                <w:szCs w:val="15"/>
              </w:rPr>
            </w:pP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099" w:type="dxa"/>
            <w:vMerge w:val="continue"/>
            <w:tcMar>
              <w:left w:w="57" w:type="dxa"/>
              <w:right w:w="57" w:type="dxa"/>
            </w:tcMar>
            <w:vAlign w:val="top"/>
          </w:tcPr>
          <w:p>
            <w:pPr>
              <w:rPr>
                <w:rFonts w:ascii="Times New Roman" w:hAnsi="Times New Roman" w:cs="Times New Roman"/>
                <w:b/>
                <w:sz w:val="15"/>
                <w:szCs w:val="15"/>
              </w:rPr>
            </w:pPr>
          </w:p>
        </w:tc>
        <w:tc>
          <w:tcPr>
            <w:tcW w:w="606" w:type="dxa"/>
            <w:tcMar>
              <w:left w:w="57" w:type="dxa"/>
              <w:right w:w="57" w:type="dxa"/>
            </w:tcMar>
            <w:vAlign w:val="center"/>
          </w:tcPr>
          <w:p>
            <w:pPr>
              <w:rPr>
                <w:rFonts w:ascii="Times New Roman" w:hAnsi="Times New Roman" w:cs="Times New Roman"/>
                <w:sz w:val="15"/>
                <w:szCs w:val="15"/>
              </w:rPr>
            </w:pPr>
          </w:p>
        </w:tc>
        <w:tc>
          <w:tcPr>
            <w:tcW w:w="850" w:type="dxa"/>
            <w:tcMar>
              <w:left w:w="57" w:type="dxa"/>
              <w:right w:w="57" w:type="dxa"/>
            </w:tcMar>
            <w:vAlign w:val="center"/>
          </w:tcPr>
          <w:p>
            <w:pPr>
              <w:jc w:val="center"/>
              <w:rPr>
                <w:rFonts w:ascii="Times New Roman" w:hAnsi="Times New Roman" w:cs="Times New Roman"/>
                <w:sz w:val="15"/>
                <w:szCs w:val="15"/>
              </w:rPr>
            </w:pPr>
          </w:p>
        </w:tc>
        <w:tc>
          <w:tcPr>
            <w:tcW w:w="1230" w:type="dxa"/>
            <w:tcMar>
              <w:left w:w="57" w:type="dxa"/>
              <w:right w:w="57" w:type="dxa"/>
            </w:tcMar>
            <w:vAlign w:val="center"/>
          </w:tcPr>
          <w:p>
            <w:pPr>
              <w:jc w:val="center"/>
              <w:rPr>
                <w:rFonts w:ascii="Times New Roman" w:hAnsi="Times New Roman" w:cs="Times New Roman"/>
                <w:sz w:val="15"/>
                <w:szCs w:val="15"/>
              </w:rPr>
            </w:pPr>
          </w:p>
        </w:tc>
        <w:tc>
          <w:tcPr>
            <w:tcW w:w="1050" w:type="dxa"/>
            <w:tcMar>
              <w:left w:w="57" w:type="dxa"/>
              <w:right w:w="57" w:type="dxa"/>
            </w:tcMar>
            <w:vAlign w:val="center"/>
          </w:tcPr>
          <w:p>
            <w:pPr>
              <w:jc w:val="center"/>
              <w:rPr>
                <w:rFonts w:ascii="Times New Roman" w:hAnsi="Times New Roman" w:cs="Times New Roman"/>
                <w:sz w:val="15"/>
                <w:szCs w:val="15"/>
              </w:rPr>
            </w:pPr>
          </w:p>
        </w:tc>
        <w:tc>
          <w:tcPr>
            <w:tcW w:w="880" w:type="dxa"/>
            <w:tcMar>
              <w:left w:w="57" w:type="dxa"/>
              <w:right w:w="57" w:type="dxa"/>
            </w:tcMar>
            <w:vAlign w:val="center"/>
          </w:tcPr>
          <w:p>
            <w:pPr>
              <w:jc w:val="center"/>
              <w:rPr>
                <w:rFonts w:ascii="Times New Roman" w:hAnsi="Times New Roman" w:cs="Times New Roman"/>
                <w:sz w:val="15"/>
                <w:szCs w:val="15"/>
              </w:rPr>
            </w:pPr>
          </w:p>
        </w:tc>
        <w:tc>
          <w:tcPr>
            <w:tcW w:w="1290" w:type="dxa"/>
            <w:tcMar>
              <w:left w:w="57" w:type="dxa"/>
              <w:right w:w="57" w:type="dxa"/>
            </w:tcMar>
            <w:vAlign w:val="center"/>
          </w:tcPr>
          <w:p>
            <w:pPr>
              <w:jc w:val="center"/>
              <w:rPr>
                <w:rFonts w:ascii="Times New Roman" w:hAnsi="Times New Roman" w:cs="Times New Roman"/>
                <w:sz w:val="15"/>
                <w:szCs w:val="15"/>
              </w:rPr>
            </w:pPr>
          </w:p>
        </w:tc>
        <w:tc>
          <w:tcPr>
            <w:tcW w:w="960" w:type="dxa"/>
            <w:tcMar>
              <w:left w:w="57" w:type="dxa"/>
              <w:right w:w="57" w:type="dxa"/>
            </w:tcMar>
            <w:vAlign w:val="center"/>
          </w:tcPr>
          <w:p>
            <w:pPr>
              <w:jc w:val="center"/>
              <w:rPr>
                <w:rFonts w:ascii="Times New Roman" w:hAnsi="Times New Roman" w:cs="Times New Roman"/>
                <w:sz w:val="15"/>
                <w:szCs w:val="15"/>
              </w:rPr>
            </w:pPr>
          </w:p>
        </w:tc>
        <w:tc>
          <w:tcPr>
            <w:tcW w:w="980" w:type="dxa"/>
            <w:tcMar>
              <w:left w:w="57" w:type="dxa"/>
              <w:right w:w="57" w:type="dxa"/>
            </w:tcMar>
            <w:vAlign w:val="center"/>
          </w:tcPr>
          <w:p>
            <w:pPr>
              <w:jc w:val="center"/>
              <w:rPr>
                <w:rFonts w:ascii="Times New Roman" w:hAnsi="Times New Roman" w:cs="Times New Roman"/>
                <w:sz w:val="15"/>
                <w:szCs w:val="15"/>
              </w:rPr>
            </w:pPr>
          </w:p>
        </w:tc>
        <w:tc>
          <w:tcPr>
            <w:tcW w:w="2380" w:type="dxa"/>
            <w:tcMar>
              <w:left w:w="57" w:type="dxa"/>
              <w:right w:w="57" w:type="dxa"/>
            </w:tcMar>
            <w:vAlign w:val="center"/>
          </w:tcPr>
          <w:p>
            <w:pPr>
              <w:jc w:val="center"/>
              <w:rPr>
                <w:rFonts w:ascii="Times New Roman" w:hAnsi="Times New Roman" w:cs="Times New Roman"/>
                <w:sz w:val="15"/>
                <w:szCs w:val="15"/>
              </w:rPr>
            </w:pPr>
          </w:p>
        </w:tc>
        <w:tc>
          <w:tcPr>
            <w:tcW w:w="1100" w:type="dxa"/>
            <w:tcMar>
              <w:left w:w="57" w:type="dxa"/>
              <w:right w:w="57" w:type="dxa"/>
            </w:tcMar>
            <w:vAlign w:val="center"/>
          </w:tcPr>
          <w:p>
            <w:pPr>
              <w:jc w:val="center"/>
              <w:rPr>
                <w:rFonts w:ascii="Times New Roman" w:hAnsi="Times New Roman" w:cs="Times New Roman"/>
                <w:sz w:val="15"/>
                <w:szCs w:val="15"/>
              </w:rPr>
            </w:pPr>
          </w:p>
        </w:tc>
        <w:tc>
          <w:tcPr>
            <w:tcW w:w="1180" w:type="dxa"/>
            <w:gridSpan w:val="2"/>
            <w:tcMar>
              <w:left w:w="57" w:type="dxa"/>
              <w:right w:w="57" w:type="dxa"/>
            </w:tcMar>
            <w:vAlign w:val="center"/>
          </w:tcPr>
          <w:p>
            <w:pPr>
              <w:jc w:val="center"/>
              <w:rPr>
                <w:rFonts w:ascii="Times New Roman" w:hAnsi="Times New Roman" w:cs="Times New Roman"/>
                <w:sz w:val="15"/>
                <w:szCs w:val="15"/>
              </w:rPr>
            </w:pPr>
          </w:p>
        </w:tc>
        <w:tc>
          <w:tcPr>
            <w:tcW w:w="990" w:type="dxa"/>
            <w:gridSpan w:val="2"/>
            <w:tcMar>
              <w:left w:w="57" w:type="dxa"/>
              <w:right w:w="57" w:type="dxa"/>
            </w:tcMar>
            <w:vAlign w:val="center"/>
          </w:tcPr>
          <w:p>
            <w:pPr>
              <w:jc w:val="center"/>
              <w:rPr>
                <w:rFonts w:ascii="Times New Roman" w:hAnsi="Times New Roman" w:cs="Times New Roman"/>
                <w:sz w:val="15"/>
                <w:szCs w:val="15"/>
              </w:rPr>
            </w:pPr>
          </w:p>
        </w:tc>
        <w:tc>
          <w:tcPr>
            <w:tcW w:w="683" w:type="dxa"/>
            <w:tcMar>
              <w:left w:w="57" w:type="dxa"/>
              <w:right w:w="57" w:type="dxa"/>
            </w:tcMar>
            <w:vAlign w:val="center"/>
          </w:tcPr>
          <w:p>
            <w:pPr>
              <w:jc w:val="center"/>
              <w:rPr>
                <w:rFonts w:ascii="Times New Roman" w:hAnsi="Times New Roman"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6" w:hRule="atLeast"/>
          <w:jc w:val="center"/>
        </w:trPr>
        <w:tc>
          <w:tcPr>
            <w:tcW w:w="598" w:type="dxa"/>
            <w:gridSpan w:val="2"/>
            <w:vMerge w:val="continue"/>
            <w:tcMar>
              <w:left w:w="57" w:type="dxa"/>
              <w:right w:w="57" w:type="dxa"/>
            </w:tcMar>
            <w:vAlign w:val="top"/>
          </w:tcPr>
          <w:p>
            <w:pPr>
              <w:rPr>
                <w:rFonts w:ascii="Times New Roman" w:hAnsi="Times New Roman" w:cs="Times New Roman"/>
                <w:sz w:val="15"/>
                <w:szCs w:val="15"/>
              </w:rPr>
            </w:pPr>
          </w:p>
        </w:tc>
        <w:tc>
          <w:tcPr>
            <w:tcW w:w="1099" w:type="dxa"/>
            <w:vMerge w:val="continue"/>
            <w:tcMar>
              <w:left w:w="57" w:type="dxa"/>
              <w:right w:w="57" w:type="dxa"/>
            </w:tcMar>
            <w:vAlign w:val="top"/>
          </w:tcPr>
          <w:p>
            <w:pPr>
              <w:rPr>
                <w:rFonts w:ascii="Times New Roman" w:hAnsi="Times New Roman" w:cs="Times New Roman"/>
                <w:b/>
                <w:sz w:val="15"/>
                <w:szCs w:val="15"/>
              </w:rPr>
            </w:pPr>
          </w:p>
        </w:tc>
        <w:tc>
          <w:tcPr>
            <w:tcW w:w="606" w:type="dxa"/>
            <w:tcMar>
              <w:left w:w="57" w:type="dxa"/>
              <w:right w:w="57" w:type="dxa"/>
            </w:tcMar>
            <w:vAlign w:val="center"/>
          </w:tcPr>
          <w:p>
            <w:pPr>
              <w:rPr>
                <w:rFonts w:ascii="Times New Roman" w:hAnsi="Times New Roman" w:cs="Times New Roman"/>
                <w:sz w:val="15"/>
                <w:szCs w:val="15"/>
              </w:rPr>
            </w:pPr>
          </w:p>
        </w:tc>
        <w:tc>
          <w:tcPr>
            <w:tcW w:w="850" w:type="dxa"/>
            <w:tcMar>
              <w:left w:w="57" w:type="dxa"/>
              <w:right w:w="57" w:type="dxa"/>
            </w:tcMar>
            <w:vAlign w:val="top"/>
          </w:tcPr>
          <w:p>
            <w:pPr>
              <w:jc w:val="center"/>
              <w:rPr>
                <w:rFonts w:ascii="Times New Roman" w:hAnsi="Times New Roman" w:cs="Times New Roman"/>
                <w:sz w:val="15"/>
                <w:szCs w:val="15"/>
              </w:rPr>
            </w:pPr>
          </w:p>
        </w:tc>
        <w:tc>
          <w:tcPr>
            <w:tcW w:w="1230" w:type="dxa"/>
            <w:tcMar>
              <w:left w:w="57" w:type="dxa"/>
              <w:right w:w="57" w:type="dxa"/>
            </w:tcMar>
            <w:vAlign w:val="top"/>
          </w:tcPr>
          <w:p>
            <w:pPr>
              <w:jc w:val="center"/>
              <w:rPr>
                <w:rFonts w:ascii="Times New Roman" w:hAnsi="Times New Roman" w:cs="Times New Roman"/>
                <w:sz w:val="15"/>
                <w:szCs w:val="15"/>
              </w:rPr>
            </w:pPr>
          </w:p>
        </w:tc>
        <w:tc>
          <w:tcPr>
            <w:tcW w:w="1050" w:type="dxa"/>
            <w:tcMar>
              <w:left w:w="57" w:type="dxa"/>
              <w:right w:w="57" w:type="dxa"/>
            </w:tcMar>
            <w:vAlign w:val="top"/>
          </w:tcPr>
          <w:p>
            <w:pPr>
              <w:jc w:val="center"/>
              <w:rPr>
                <w:rFonts w:ascii="Times New Roman" w:hAnsi="Times New Roman" w:cs="Times New Roman"/>
                <w:sz w:val="15"/>
                <w:szCs w:val="15"/>
              </w:rPr>
            </w:pPr>
          </w:p>
        </w:tc>
        <w:tc>
          <w:tcPr>
            <w:tcW w:w="880" w:type="dxa"/>
            <w:tcMar>
              <w:left w:w="57" w:type="dxa"/>
              <w:right w:w="57" w:type="dxa"/>
            </w:tcMar>
            <w:vAlign w:val="top"/>
          </w:tcPr>
          <w:p>
            <w:pPr>
              <w:jc w:val="center"/>
              <w:rPr>
                <w:rFonts w:ascii="Times New Roman" w:hAnsi="Times New Roman" w:cs="Times New Roman"/>
                <w:sz w:val="15"/>
                <w:szCs w:val="15"/>
              </w:rPr>
            </w:pPr>
          </w:p>
        </w:tc>
        <w:tc>
          <w:tcPr>
            <w:tcW w:w="1290" w:type="dxa"/>
            <w:tcMar>
              <w:left w:w="57" w:type="dxa"/>
              <w:right w:w="57" w:type="dxa"/>
            </w:tcMar>
            <w:vAlign w:val="top"/>
          </w:tcPr>
          <w:p>
            <w:pPr>
              <w:jc w:val="center"/>
              <w:rPr>
                <w:rFonts w:ascii="Times New Roman" w:hAnsi="Times New Roman" w:cs="Times New Roman"/>
                <w:sz w:val="15"/>
                <w:szCs w:val="15"/>
              </w:rPr>
            </w:pPr>
          </w:p>
        </w:tc>
        <w:tc>
          <w:tcPr>
            <w:tcW w:w="960" w:type="dxa"/>
            <w:tcMar>
              <w:left w:w="57" w:type="dxa"/>
              <w:right w:w="57" w:type="dxa"/>
            </w:tcMar>
            <w:vAlign w:val="top"/>
          </w:tcPr>
          <w:p>
            <w:pPr>
              <w:jc w:val="center"/>
              <w:rPr>
                <w:rFonts w:ascii="Times New Roman" w:hAnsi="Times New Roman" w:cs="Times New Roman"/>
                <w:sz w:val="15"/>
                <w:szCs w:val="15"/>
              </w:rPr>
            </w:pPr>
          </w:p>
        </w:tc>
        <w:tc>
          <w:tcPr>
            <w:tcW w:w="980" w:type="dxa"/>
            <w:tcMar>
              <w:left w:w="57" w:type="dxa"/>
              <w:right w:w="57" w:type="dxa"/>
            </w:tcMar>
            <w:vAlign w:val="top"/>
          </w:tcPr>
          <w:p>
            <w:pPr>
              <w:jc w:val="center"/>
              <w:rPr>
                <w:rFonts w:ascii="Times New Roman" w:hAnsi="Times New Roman" w:cs="Times New Roman"/>
                <w:sz w:val="15"/>
                <w:szCs w:val="15"/>
              </w:rPr>
            </w:pPr>
          </w:p>
        </w:tc>
        <w:tc>
          <w:tcPr>
            <w:tcW w:w="2380" w:type="dxa"/>
            <w:tcMar>
              <w:left w:w="57" w:type="dxa"/>
              <w:right w:w="57" w:type="dxa"/>
            </w:tcMar>
            <w:vAlign w:val="top"/>
          </w:tcPr>
          <w:p>
            <w:pPr>
              <w:jc w:val="center"/>
              <w:rPr>
                <w:rFonts w:ascii="Times New Roman" w:hAnsi="Times New Roman" w:cs="Times New Roman"/>
                <w:sz w:val="15"/>
                <w:szCs w:val="15"/>
              </w:rPr>
            </w:pPr>
          </w:p>
        </w:tc>
        <w:tc>
          <w:tcPr>
            <w:tcW w:w="1100" w:type="dxa"/>
            <w:tcMar>
              <w:left w:w="57" w:type="dxa"/>
              <w:right w:w="57" w:type="dxa"/>
            </w:tcMar>
            <w:vAlign w:val="top"/>
          </w:tcPr>
          <w:p>
            <w:pPr>
              <w:jc w:val="center"/>
              <w:rPr>
                <w:rFonts w:ascii="Times New Roman" w:hAnsi="Times New Roman" w:cs="Times New Roman"/>
                <w:sz w:val="15"/>
                <w:szCs w:val="15"/>
              </w:rPr>
            </w:pPr>
          </w:p>
        </w:tc>
        <w:tc>
          <w:tcPr>
            <w:tcW w:w="1180" w:type="dxa"/>
            <w:gridSpan w:val="2"/>
            <w:tcMar>
              <w:left w:w="57" w:type="dxa"/>
              <w:right w:w="57" w:type="dxa"/>
            </w:tcMar>
            <w:vAlign w:val="top"/>
          </w:tcPr>
          <w:p>
            <w:pPr>
              <w:jc w:val="center"/>
              <w:rPr>
                <w:rFonts w:ascii="Times New Roman" w:hAnsi="Times New Roman" w:cs="Times New Roman"/>
                <w:sz w:val="15"/>
                <w:szCs w:val="15"/>
              </w:rPr>
            </w:pPr>
          </w:p>
        </w:tc>
        <w:tc>
          <w:tcPr>
            <w:tcW w:w="990" w:type="dxa"/>
            <w:gridSpan w:val="2"/>
            <w:tcMar>
              <w:left w:w="57" w:type="dxa"/>
              <w:right w:w="57" w:type="dxa"/>
            </w:tcMar>
            <w:vAlign w:val="top"/>
          </w:tcPr>
          <w:p>
            <w:pPr>
              <w:jc w:val="center"/>
              <w:rPr>
                <w:rFonts w:ascii="Times New Roman" w:hAnsi="Times New Roman" w:cs="Times New Roman"/>
                <w:sz w:val="15"/>
                <w:szCs w:val="15"/>
              </w:rPr>
            </w:pPr>
          </w:p>
        </w:tc>
        <w:tc>
          <w:tcPr>
            <w:tcW w:w="683" w:type="dxa"/>
            <w:tcMar>
              <w:left w:w="57" w:type="dxa"/>
              <w:right w:w="57" w:type="dxa"/>
            </w:tcMar>
            <w:vAlign w:val="top"/>
          </w:tcPr>
          <w:p>
            <w:pPr>
              <w:jc w:val="center"/>
              <w:rPr>
                <w:rFonts w:ascii="Times New Roman" w:hAnsi="Times New Roman" w:cs="Times New Roman"/>
                <w:sz w:val="15"/>
                <w:szCs w:val="15"/>
              </w:rPr>
            </w:pPr>
          </w:p>
        </w:tc>
      </w:tr>
    </w:tbl>
    <w:p>
      <w:pPr>
        <w:rPr>
          <w:rFonts w:ascii="Times New Roman" w:hAnsi="Times New Roman" w:cs="Times New Roman"/>
          <w:sz w:val="15"/>
          <w:szCs w:val="15"/>
        </w:rPr>
      </w:pPr>
      <w:r>
        <w:rPr>
          <w:rFonts w:ascii="Times New Roman" w:hAnsi="Times New Roman" w:cs="Times New Roman"/>
          <w:b/>
          <w:sz w:val="15"/>
          <w:szCs w:val="15"/>
        </w:rPr>
        <w:t>注</w:t>
      </w:r>
      <w:r>
        <w:rPr>
          <w:rFonts w:ascii="Times New Roman" w:hAnsi="Times New Roman" w:cs="Times New Roman"/>
          <w:sz w:val="15"/>
          <w:szCs w:val="15"/>
        </w:rPr>
        <w:t>：1、</w:t>
      </w:r>
      <w:r>
        <w:rPr>
          <w:rFonts w:ascii="Times New Roman" w:hAnsi="Times New Roman" w:cs="Times New Roman"/>
          <w:spacing w:val="-4"/>
          <w:sz w:val="15"/>
          <w:szCs w:val="15"/>
        </w:rPr>
        <w:t>排放增减量：（+）表示增加，（-）表示减少。2、(12)=(6)-(8)-(11)，（9）= (4)-(5)-(8)- (11) +（1）。3、计量单位：废水排放量——万吨/年；废气排放量——万标立方米/年；工业固体废物排放</w:t>
      </w:r>
      <w:r>
        <w:rPr>
          <w:rFonts w:ascii="Times New Roman" w:hAnsi="Times New Roman" w:cs="Times New Roman"/>
          <w:sz w:val="15"/>
          <w:szCs w:val="15"/>
        </w:rPr>
        <w:t>量——万吨/年；水污染物排放浓度——毫克/升</w:t>
      </w:r>
    </w:p>
    <w:p>
      <w:pPr>
        <w:pStyle w:val="5"/>
        <w:rPr>
          <w:rFonts w:ascii="Times New Roman" w:hAnsi="Times New Roman" w:cs="Times New Roman"/>
        </w:rPr>
      </w:pPr>
    </w:p>
    <w:sectPr>
      <w:footerReference r:id="rId23"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auto"/>
    <w:pitch w:val="default"/>
    <w:sig w:usb0="E00002FF" w:usb1="400004FF" w:usb2="00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彩云">
    <w:panose1 w:val="02010800040101010101"/>
    <w:charset w:val="86"/>
    <w:family w:val="auto"/>
    <w:pitch w:val="default"/>
    <w:sig w:usb0="00000001" w:usb1="080F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w:pict>
        <v:shape id="_x0000_s3076" o:spid="_x0000_s3076"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weight="1.25pt"/>
          <v:imagedata o:title=""/>
          <o:lock v:ext="edit" aspectratio="f"/>
          <v:textbox inset="0mm,0mm,0mm,0mm" style="mso-fit-shape-to-text:t;">
            <w:txbxContent>
              <w:p>
                <w:pPr>
                  <w:pStyle w:val="16"/>
                  <w:rPr>
                    <w:rStyle w:val="24"/>
                    <w:rFonts w:ascii="宋体" w:hAnsi="宋体"/>
                    <w:sz w:val="28"/>
                    <w:szCs w:val="28"/>
                  </w:rPr>
                </w:pPr>
                <w:r>
                  <w:rPr>
                    <w:rStyle w:val="24"/>
                    <w:rFonts w:hint="eastAsia" w:ascii="宋体" w:hAnsi="宋体"/>
                    <w:sz w:val="28"/>
                    <w:szCs w:val="28"/>
                  </w:rPr>
                  <w:t>—</w:t>
                </w:r>
                <w:r>
                  <w:rPr>
                    <w:rStyle w:val="24"/>
                    <w:rFonts w:hint="eastAsia" w:ascii="宋体" w:hAnsi="宋体"/>
                    <w:sz w:val="20"/>
                    <w:szCs w:val="20"/>
                  </w:rPr>
                  <w:t xml:space="preserve">  </w:t>
                </w:r>
                <w:r>
                  <w:rPr>
                    <w:rFonts w:ascii="宋体" w:hAnsi="宋体"/>
                    <w:sz w:val="26"/>
                    <w:szCs w:val="26"/>
                  </w:rPr>
                  <w:fldChar w:fldCharType="begin"/>
                </w:r>
                <w:r>
                  <w:rPr>
                    <w:rStyle w:val="24"/>
                    <w:rFonts w:ascii="宋体" w:hAnsi="宋体"/>
                    <w:sz w:val="26"/>
                    <w:szCs w:val="26"/>
                  </w:rPr>
                  <w:instrText xml:space="preserve">PAGE  </w:instrText>
                </w:r>
                <w:r>
                  <w:rPr>
                    <w:rFonts w:ascii="宋体" w:hAnsi="宋体"/>
                    <w:sz w:val="26"/>
                    <w:szCs w:val="26"/>
                  </w:rPr>
                  <w:fldChar w:fldCharType="separate"/>
                </w:r>
                <w:r>
                  <w:rPr>
                    <w:rStyle w:val="24"/>
                    <w:rFonts w:ascii="宋体" w:hAnsi="宋体"/>
                    <w:sz w:val="26"/>
                    <w:szCs w:val="26"/>
                  </w:rPr>
                  <w:t>3</w:t>
                </w:r>
                <w:r>
                  <w:rPr>
                    <w:rFonts w:ascii="宋体" w:hAnsi="宋体"/>
                    <w:sz w:val="26"/>
                    <w:szCs w:val="26"/>
                  </w:rPr>
                  <w:fldChar w:fldCharType="end"/>
                </w:r>
                <w:r>
                  <w:rPr>
                    <w:rStyle w:val="24"/>
                    <w:rFonts w:hint="eastAsia" w:ascii="宋体" w:hAnsi="宋体"/>
                    <w:sz w:val="20"/>
                    <w:szCs w:val="20"/>
                  </w:rPr>
                  <w:t xml:space="preserve">  </w:t>
                </w:r>
                <w:r>
                  <w:rPr>
                    <w:rStyle w:val="24"/>
                    <w:rFonts w:hint="eastAsia" w:ascii="宋体" w:hAnsi="宋体"/>
                    <w:sz w:val="28"/>
                    <w:szCs w:val="28"/>
                  </w:rPr>
                  <w:t>—</w:t>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87" o:spid="_x0000_s3087" o:spt="202" type="#_x0000_t202" style="position:absolute;left:0pt;margin-top:0pt;height:144pt;width:144pt;mso-position-horizontal:center;mso-position-horizontal-relative:margin;mso-wrap-style:none;z-index:251672576;mso-width-relative:page;mso-height-relative:page;" filled="f" stroked="f" coordsize="21600,21600">
          <v:path/>
          <v:fill on="f" focussize="0,0"/>
          <v:stroke on="f" weight="1.25pt"/>
          <v:imagedata o:title=""/>
          <o:lock v:ext="edit" aspectratio="f"/>
          <v:textbox inset="0mm,0mm,0mm,0mm" style="mso-fit-shape-to-text:t;">
            <w:txbxContent>
              <w:p>
                <w:pPr>
                  <w:pStyle w:val="1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61</w:t>
                </w:r>
                <w:r>
                  <w:rPr>
                    <w:rFonts w:hint="eastAsia"/>
                    <w:lang w:eastAsia="zh-CN"/>
                  </w:rPr>
                  <w:fldChar w:fldCharType="end"/>
                </w:r>
              </w:p>
            </w:txbxContent>
          </v:textbox>
        </v:shape>
      </w:pict>
    </w:r>
    <w:r>
      <w:rPr>
        <w:sz w:val="18"/>
      </w:rPr>
      <w:pict>
        <v:shape id="_x0000_s3075" o:spid="_x0000_s3075" o:spt="202" type="#_x0000_t202" style="position:absolute;left:0pt;margin-left:203.25pt;margin-top:0.75pt;height:144pt;width:144pt;mso-position-horizontal-relative:margin;mso-wrap-style:none;z-index:251660288;mso-width-relative:page;mso-height-relative:page;" filled="f" stroked="f" coordsize="21600,21600">
          <v:path/>
          <v:fill on="f" focussize="0,0"/>
          <v:stroke on="f" weight="1.25pt"/>
          <v:imagedata o:title=""/>
          <o:lock v:ext="edit" aspectratio="f"/>
          <v:textbox inset="0mm,0mm,0mm,0mm" style="mso-fit-shape-to-text:t;">
            <w:txbxContent>
              <w:p>
                <w:pPr>
                  <w:rPr>
                    <w:rFonts w:hint="eastAsia"/>
                    <w:lang w:eastAsia="zh-CN"/>
                  </w:rPr>
                </w:pPr>
              </w:p>
            </w:txbxContent>
          </v:textbox>
        </v:shape>
      </w:pict>
    </w:r>
    <w:r>
      <w:rPr>
        <w:rFonts w:hint="eastAsia"/>
      </w:rPr>
      <w:t>陕西</w:t>
    </w:r>
    <w:r>
      <w:rPr>
        <w:rFonts w:hint="eastAsia"/>
        <w:lang w:eastAsia="zh-CN"/>
      </w:rPr>
      <w:t>天宜建设环境工程监理有限公司</w:t>
    </w:r>
  </w:p>
  <w:p>
    <w:pPr>
      <w:pStyle w:val="16"/>
      <w:ind w:right="360"/>
    </w:pPr>
    <w:r>
      <w:rPr>
        <w:rFonts w:hint="eastAsia"/>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center"/>
      <w:rPr>
        <w:rFonts w:ascii="宋体" w:hAnsi="宋体"/>
        <w:sz w:val="28"/>
        <w:szCs w:val="28"/>
      </w:rPr>
    </w:pPr>
    <w:r>
      <w:rPr>
        <w:sz w:val="28"/>
      </w:rPr>
      <w:pict>
        <v:shape id="_x0000_s3074" o:spid="_x0000_s3074"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weight="1.25pt"/>
          <v:imagedata o:title=""/>
          <o:lock v:ext="edit" aspectratio="f"/>
          <v:textbox inset="0mm,0mm,0mm,0mm" style="mso-fit-shape-to-text:t;">
            <w:txbxContent>
              <w:p>
                <w:pPr>
                  <w:pStyle w:val="16"/>
                  <w:jc w:val="center"/>
                </w:pPr>
                <w:r>
                  <w:rPr>
                    <w:rFonts w:hint="eastAsia" w:ascii="宋体" w:hAnsi="宋体"/>
                    <w:sz w:val="28"/>
                    <w:szCs w:val="28"/>
                  </w:rPr>
                  <w:t>—</w:t>
                </w:r>
                <w:r>
                  <w:rPr>
                    <w:rFonts w:hint="eastAsia" w:ascii="宋体" w:hAnsi="宋体"/>
                    <w:sz w:val="20"/>
                    <w:szCs w:val="20"/>
                  </w:rPr>
                  <w:t xml:space="preserve">  </w:t>
                </w:r>
                <w:r>
                  <w:rPr>
                    <w:rFonts w:hint="eastAsia" w:ascii="宋体" w:hAnsi="宋体"/>
                    <w:sz w:val="26"/>
                    <w:szCs w:val="26"/>
                  </w:rPr>
                  <w:fldChar w:fldCharType="begin"/>
                </w:r>
                <w:r>
                  <w:rPr>
                    <w:rFonts w:hint="eastAsia" w:ascii="宋体" w:hAnsi="宋体"/>
                    <w:sz w:val="26"/>
                    <w:szCs w:val="26"/>
                  </w:rPr>
                  <w:instrText xml:space="preserve">PAGE   \* MERGEFORMAT</w:instrText>
                </w:r>
                <w:r>
                  <w:rPr>
                    <w:rFonts w:hint="eastAsia" w:ascii="宋体" w:hAnsi="宋体"/>
                    <w:sz w:val="26"/>
                    <w:szCs w:val="26"/>
                  </w:rPr>
                  <w:fldChar w:fldCharType="separate"/>
                </w:r>
                <w:r>
                  <w:rPr>
                    <w:rFonts w:ascii="宋体" w:hAnsi="宋体"/>
                    <w:sz w:val="26"/>
                    <w:szCs w:val="26"/>
                  </w:rPr>
                  <w:t>43</w:t>
                </w:r>
                <w:r>
                  <w:rPr>
                    <w:rFonts w:hint="eastAsia"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outside" w:y="1"/>
      <w:rPr>
        <w:rStyle w:val="56"/>
      </w:rPr>
    </w:pPr>
    <w:r>
      <w:fldChar w:fldCharType="begin"/>
    </w:r>
    <w:r>
      <w:rPr>
        <w:rStyle w:val="56"/>
      </w:rPr>
      <w:instrText xml:space="preserve">PAGE  </w:instrText>
    </w:r>
    <w:r>
      <w:fldChar w:fldCharType="separate"/>
    </w:r>
    <w:r>
      <w:rPr>
        <w:rStyle w:val="56"/>
      </w:rPr>
      <w:t>36</w:t>
    </w:r>
    <w:r>
      <w:fldChar w:fldCharType="end"/>
    </w:r>
  </w:p>
  <w:p>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77" o:spid="_x0000_s3077"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1.25pt"/>
          <v:imagedata o:title=""/>
          <o:lock v:ext="edit" aspectratio="f"/>
          <v:textbox inset="0mm,0mm,0mm,0mm" style="mso-fit-shape-to-text:t;">
            <w:txbxContent>
              <w:p>
                <w:pPr>
                  <w:pStyle w:val="1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right" w:pos="8715"/>
        <w:tab w:val="clear" w:pos="8306"/>
      </w:tabs>
      <w:ind w:right="360"/>
    </w:pPr>
    <w:r>
      <w:rPr>
        <w:sz w:val="18"/>
      </w:rPr>
      <w:pict>
        <v:shape id="_x0000_s3078" o:spid="_x0000_s3078"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weight="1.25pt"/>
          <v:imagedata o:title=""/>
          <o:lock v:ext="edit" aspectratio="f"/>
          <v:textbox inset="0mm,0mm,0mm,0mm" style="mso-fit-shape-to-text:t;">
            <w:txbxContent>
              <w:p>
                <w:pPr>
                  <w:pStyle w:val="1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w:r>
    <w:r>
      <w:rPr>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79" o:spid="_x0000_s3079" o:spt="202" type="#_x0000_t202" style="position:absolute;left:0pt;margin-top:0pt;height:144pt;width:144pt;mso-position-horizontal:center;mso-position-horizontal-relative:margin;mso-wrap-style:none;z-index:251664384;mso-width-relative:page;mso-height-relative:page;" filled="f" stroked="f" coordsize="21600,21600">
          <v:path/>
          <v:fill on="f" focussize="0,0"/>
          <v:stroke on="f" weight="1.25pt"/>
          <v:imagedata o:title=""/>
          <o:lock v:ext="edit" aspectratio="f"/>
          <v:textbox inset="0mm,0mm,0mm,0mm" style="mso-fit-shape-to-text:t;">
            <w:txbxContent>
              <w:p>
                <w:pPr>
                  <w:pStyle w:val="16"/>
                  <w:rPr>
                    <w:rStyle w:val="24"/>
                  </w:rPr>
                </w:pPr>
                <w:r>
                  <w:fldChar w:fldCharType="begin"/>
                </w:r>
                <w:r>
                  <w:rPr>
                    <w:rStyle w:val="24"/>
                  </w:rPr>
                  <w:instrText xml:space="preserve">PAGE  </w:instrText>
                </w:r>
                <w:r>
                  <w:fldChar w:fldCharType="separate"/>
                </w:r>
                <w:r>
                  <w:rPr>
                    <w:rStyle w:val="24"/>
                  </w:rPr>
                  <w:t>5</w:t>
                </w:r>
                <w:r>
                  <w:fldChar w:fldCharType="end"/>
                </w:r>
              </w:p>
            </w:txbxContent>
          </v:textbox>
        </v:shape>
      </w:pict>
    </w:r>
    <w:r>
      <w:rPr>
        <w:rFonts w:hint="eastAsia"/>
      </w:rPr>
      <w:t>陕西</w:t>
    </w:r>
    <w:r>
      <w:rPr>
        <w:rFonts w:hint="eastAsia"/>
        <w:lang w:eastAsia="zh-CN"/>
      </w:rPr>
      <w:t>天宜建设环境工程监理有限公司</w:t>
    </w:r>
    <w:r>
      <w:rPr>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left"/>
      <w:rPr>
        <w:rFonts w:ascii="华文新魏" w:eastAsia="华文新魏"/>
        <w:szCs w:val="21"/>
      </w:rPr>
    </w:pPr>
    <w:r>
      <w:rPr>
        <w:sz w:val="21"/>
      </w:rPr>
      <w:pict>
        <v:shape id="_x0000_s3080" o:spid="_x0000_s3080"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weight="1.25pt"/>
          <v:imagedata o:title=""/>
          <o:lock v:ext="edit" aspectratio="f"/>
          <v:textbox inset="0mm,0mm,0mm,0mm" style="mso-fit-shape-to-text:t;">
            <w:txbxContent>
              <w:p>
                <w:pPr>
                  <w:pStyle w:val="1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w:t>
                </w:r>
                <w:r>
                  <w:rPr>
                    <w:rFonts w:hint="eastAsia"/>
                    <w:lang w:eastAsia="zh-CN"/>
                  </w:rPr>
                  <w:fldChar w:fldCharType="end"/>
                </w:r>
              </w:p>
            </w:txbxContent>
          </v:textbox>
        </v:shape>
      </w:pict>
    </w:r>
    <w:r>
      <w:t>陕西</w:t>
    </w:r>
    <w:r>
      <w:rPr>
        <w:rFonts w:hint="eastAsia"/>
        <w:lang w:eastAsia="zh-CN"/>
      </w:rPr>
      <w:t>天宜建设环境工程监理有限公司</w:t>
    </w:r>
    <w:r>
      <w:rPr>
        <w:rFonts w:hint="eastAsia" w:ascii="华文新魏" w:eastAsia="华文新魏"/>
        <w:szCs w:val="21"/>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81" o:spid="_x0000_s3081"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weight="1.25pt"/>
          <v:imagedata o:title=""/>
          <o:lock v:ext="edit" aspectratio="f"/>
          <v:textbox inset="0mm,0mm,0mm,0mm" style="mso-fit-shape-to-text:t;">
            <w:txbxContent>
              <w:p>
                <w:pPr>
                  <w:pStyle w:val="16"/>
                  <w:ind w:firstLine="90" w:firstLineChars="50"/>
                  <w:rPr>
                    <w:rStyle w:val="24"/>
                  </w:rPr>
                </w:pPr>
                <w:r>
                  <w:fldChar w:fldCharType="begin"/>
                </w:r>
                <w:r>
                  <w:rPr>
                    <w:rStyle w:val="24"/>
                  </w:rPr>
                  <w:instrText xml:space="preserve">PAGE  </w:instrText>
                </w:r>
                <w:r>
                  <w:fldChar w:fldCharType="separate"/>
                </w:r>
                <w:r>
                  <w:rPr>
                    <w:rStyle w:val="24"/>
                  </w:rPr>
                  <w:t>9</w:t>
                </w:r>
                <w:r>
                  <w:fldChar w:fldCharType="end"/>
                </w:r>
              </w:p>
            </w:txbxContent>
          </v:textbox>
        </v:shape>
      </w:pict>
    </w:r>
    <w:r>
      <w:rPr>
        <w:rFonts w:hint="eastAsia"/>
      </w:rPr>
      <w:t>陕西</w:t>
    </w:r>
    <w:r>
      <w:rPr>
        <w:rFonts w:hint="eastAsia"/>
        <w:lang w:eastAsia="zh-CN"/>
      </w:rPr>
      <w:t>天宜建设环境工程监理有限公司</w:t>
    </w:r>
    <w:r>
      <w:rPr>
        <w:rFonts w:hint="eastAsia"/>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82" o:spid="_x0000_s3082" o:spt="202" type="#_x0000_t202" style="position:absolute;left:0pt;margin-top:0pt;height:144pt;width:144pt;mso-position-horizontal:center;mso-position-horizontal-relative:margin;mso-wrap-style:none;z-index:251667456;mso-width-relative:page;mso-height-relative:page;" filled="f" stroked="f" coordsize="21600,21600">
          <v:path/>
          <v:fill on="f" focussize="0,0"/>
          <v:stroke on="f" weight="1.25pt"/>
          <v:imagedata o:title=""/>
          <o:lock v:ext="edit" aspectratio="f"/>
          <v:textbox inset="0mm,0mm,0mm,0mm" style="mso-fit-shape-to-text:t;">
            <w:txbxContent>
              <w:p>
                <w:pPr>
                  <w:rPr>
                    <w:rFonts w:ascii="华文新魏" w:eastAsia="华文新魏"/>
                    <w:szCs w:val="21"/>
                  </w:rPr>
                </w:pPr>
                <w:r>
                  <w:fldChar w:fldCharType="begin"/>
                </w:r>
                <w:r>
                  <w:instrText xml:space="preserve">PAGE  </w:instrText>
                </w:r>
                <w:r>
                  <w:fldChar w:fldCharType="separate"/>
                </w:r>
                <w:r>
                  <w:t>22</w:t>
                </w:r>
                <w:r>
                  <w:fldChar w:fldCharType="end"/>
                </w:r>
                <w:r>
                  <w:rPr>
                    <w:rFonts w:hint="eastAsia" w:ascii="华文新魏" w:eastAsia="华文新魏"/>
                    <w:szCs w:val="21"/>
                  </w:rPr>
                  <w:t xml:space="preserve">                            </w:t>
                </w:r>
              </w:p>
            </w:txbxContent>
          </v:textbox>
        </v:shape>
      </w:pict>
    </w:r>
    <w:r>
      <w:rPr>
        <w:rFonts w:hint="eastAsia"/>
      </w:rPr>
      <w:t>陕西</w:t>
    </w:r>
    <w:r>
      <w:rPr>
        <w:rFonts w:hint="eastAsia"/>
        <w:lang w:eastAsia="zh-CN"/>
      </w:rPr>
      <w:t>天宜建设环境工程监理有限公司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w:pict>
        <v:shape id="_x0000_s3086" o:spid="_x0000_s3086" o:spt="202" type="#_x0000_t202" style="position:absolute;left:0pt;margin-top:0pt;height:144pt;width:144pt;mso-position-horizontal:center;mso-position-horizontal-relative:margin;mso-wrap-style:none;z-index:251671552;mso-width-relative:page;mso-height-relative:page;" filled="f" stroked="f" coordsize="21600,21600">
          <v:path/>
          <v:fill on="f" focussize="0,0"/>
          <v:stroke on="f" weight="1.25pt"/>
          <v:imagedata o:title=""/>
          <o:lock v:ext="edit" aspectratio="f"/>
          <v:textbox inset="0mm,0mm,0mm,0mm" style="mso-fit-shape-to-text:t;">
            <w:txbxContent>
              <w:p>
                <w:pPr>
                  <w:pStyle w:val="1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r>
      <w:rPr>
        <w:sz w:val="18"/>
      </w:rPr>
      <w:pict>
        <v:shape id="_x0000_s3083" o:spid="_x0000_s3083" o:spt="202" type="#_x0000_t202" style="position:absolute;left:0pt;margin-top:0pt;height:144pt;width:144pt;mso-position-horizontal:center;mso-position-horizontal-relative:margin;mso-wrap-style:none;z-index:251668480;mso-width-relative:page;mso-height-relative:page;" filled="f" stroked="f" coordsize="21600,21600">
          <v:path/>
          <v:fill on="f" focussize="0,0"/>
          <v:stroke on="f" weight="1.25pt"/>
          <v:imagedata o:title=""/>
          <o:lock v:ext="edit" aspectratio="f"/>
          <v:textbox inset="0mm,0mm,0mm,0mm" style="mso-fit-shape-to-text:t;">
            <w:txbxContent>
              <w:p>
                <w:pPr>
                  <w:rPr>
                    <w:rFonts w:hint="eastAsia"/>
                    <w:lang w:eastAsia="zh-CN"/>
                  </w:rPr>
                </w:pPr>
              </w:p>
            </w:txbxContent>
          </v:textbox>
        </v:shape>
      </w:pict>
    </w:r>
    <w:r>
      <w:rPr>
        <w:rFonts w:hint="eastAsia"/>
      </w:rPr>
      <w:t>陕西</w:t>
    </w:r>
    <w:r>
      <w:rPr>
        <w:rFonts w:hint="eastAsia"/>
        <w:lang w:eastAsia="zh-CN"/>
      </w:rPr>
      <w:t>天宜建设环境工程监理有限公司</w:t>
    </w:r>
  </w:p>
  <w:p>
    <w:pPr>
      <w:pStyle w:val="16"/>
      <w:ind w:right="360"/>
    </w:pP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rPr>
        <w:sz w:val="21"/>
        <w:szCs w:val="21"/>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color w:val="FF0000"/>
        <w:szCs w:val="16"/>
      </w:rPr>
    </w:pPr>
    <w:r>
      <w:rPr>
        <w:rFonts w:hint="eastAsia"/>
        <w:lang w:eastAsia="zh-CN"/>
      </w:rPr>
      <w:t>渭南高新区渭河洁能有限公司废水处理及中水回用系统扩能改造项目</w:t>
    </w:r>
    <w:r>
      <w:rPr>
        <w:rFonts w:hint="eastAsia"/>
      </w:rPr>
      <w:t>环境保护验收监测报告</w:t>
    </w:r>
  </w:p>
  <w:p>
    <w:pPr>
      <w:pStyle w:val="17"/>
      <w:pBdr>
        <w:bottom w:val="none" w:color="auto" w:sz="0" w:space="0"/>
      </w:pBdr>
      <w:rPr>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color w:val="FF0000"/>
        <w:szCs w:val="16"/>
      </w:rPr>
    </w:pPr>
    <w:r>
      <w:rPr>
        <w:rFonts w:hint="eastAsia"/>
        <w:lang w:eastAsia="zh-CN"/>
      </w:rPr>
      <w:t>渭南高新区渭河洁能有限公司废水处理及中水回用系统扩能改造项目</w:t>
    </w:r>
    <w:r>
      <w:rPr>
        <w:rFonts w:hint="eastAsia"/>
      </w:rPr>
      <w:t>环境保护验收监测报告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lang w:eastAsia="zh-CN"/>
      </w:rPr>
      <w:t>渭南高新区渭河洁能有限公司废水处理及中水回用系统扩能改造项目</w:t>
    </w:r>
    <w:r>
      <w:rPr>
        <w:rFonts w:hint="eastAsia"/>
      </w:rPr>
      <w:t>环境保护验收监测报告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433909D"/>
    <w:multiLevelType w:val="singleLevel"/>
    <w:tmpl w:val="A433909D"/>
    <w:lvl w:ilvl="0" w:tentative="0">
      <w:start w:val="2"/>
      <w:numFmt w:val="decimal"/>
      <w:suff w:val="nothing"/>
      <w:lvlText w:val="（%1）"/>
      <w:lvlJc w:val="left"/>
    </w:lvl>
  </w:abstractNum>
  <w:abstractNum w:abstractNumId="1">
    <w:nsid w:val="DB074D2A"/>
    <w:multiLevelType w:val="singleLevel"/>
    <w:tmpl w:val="DB074D2A"/>
    <w:lvl w:ilvl="0" w:tentative="0">
      <w:start w:val="1"/>
      <w:numFmt w:val="decimal"/>
      <w:suff w:val="nothing"/>
      <w:lvlText w:val="（%1）"/>
      <w:lvlJc w:val="left"/>
    </w:lvl>
  </w:abstractNum>
  <w:abstractNum w:abstractNumId="2">
    <w:nsid w:val="EC226789"/>
    <w:multiLevelType w:val="singleLevel"/>
    <w:tmpl w:val="EC226789"/>
    <w:lvl w:ilvl="0" w:tentative="0">
      <w:start w:val="1"/>
      <w:numFmt w:val="decimal"/>
      <w:suff w:val="nothing"/>
      <w:lvlText w:val="（%1）"/>
      <w:lvlJc w:val="left"/>
    </w:lvl>
  </w:abstractNum>
  <w:abstractNum w:abstractNumId="3">
    <w:nsid w:val="46D7B59F"/>
    <w:multiLevelType w:val="singleLevel"/>
    <w:tmpl w:val="46D7B59F"/>
    <w:lvl w:ilvl="0" w:tentative="0">
      <w:start w:val="2"/>
      <w:numFmt w:val="decimal"/>
      <w:suff w:val="nothing"/>
      <w:lvlText w:val="%1、"/>
      <w:lvlJc w:val="left"/>
    </w:lvl>
  </w:abstractNum>
  <w:abstractNum w:abstractNumId="4">
    <w:nsid w:val="4BCC40C9"/>
    <w:multiLevelType w:val="singleLevel"/>
    <w:tmpl w:val="4BCC40C9"/>
    <w:lvl w:ilvl="0" w:tentative="0">
      <w:start w:val="1"/>
      <w:numFmt w:val="bullet"/>
      <w:pStyle w:val="13"/>
      <w:lvlText w:val=""/>
      <w:lvlJc w:val="left"/>
      <w:pPr>
        <w:tabs>
          <w:tab w:val="left" w:pos="780"/>
        </w:tabs>
        <w:ind w:left="780" w:hanging="360"/>
      </w:pPr>
      <w:rPr>
        <w:rFonts w:hint="default" w:ascii="Wingdings" w:hAnsi="Wingdings"/>
      </w:rPr>
    </w:lvl>
  </w:abstractNum>
  <w:abstractNum w:abstractNumId="5">
    <w:nsid w:val="5A7FC1EB"/>
    <w:multiLevelType w:val="singleLevel"/>
    <w:tmpl w:val="5A7FC1EB"/>
    <w:lvl w:ilvl="0" w:tentative="0">
      <w:start w:val="1"/>
      <w:numFmt w:val="decimal"/>
      <w:suff w:val="nothing"/>
      <w:lvlText w:val="（%1）"/>
      <w:lvlJc w:val="left"/>
    </w:lvl>
  </w:abstractNum>
  <w:abstractNum w:abstractNumId="6">
    <w:nsid w:val="5CD3593B"/>
    <w:multiLevelType w:val="multilevel"/>
    <w:tmpl w:val="5CD3593B"/>
    <w:lvl w:ilvl="0" w:tentative="0">
      <w:start w:val="1"/>
      <w:numFmt w:val="decimal"/>
      <w:pStyle w:val="22"/>
      <w:lvlText w:val="%1"/>
      <w:lvlJc w:val="left"/>
      <w:pPr>
        <w:ind w:left="425" w:hanging="425"/>
      </w:pPr>
      <w:rPr>
        <w:rFonts w:hint="eastAsia"/>
      </w:rPr>
    </w:lvl>
    <w:lvl w:ilvl="1" w:tentative="0">
      <w:start w:val="1"/>
      <w:numFmt w:val="decimal"/>
      <w:lvlText w:val="%1.%2"/>
      <w:lvlJc w:val="left"/>
      <w:pPr>
        <w:ind w:left="680" w:hanging="680"/>
      </w:pPr>
      <w:rPr>
        <w:rFonts w:hint="default"/>
      </w:rPr>
    </w:lvl>
    <w:lvl w:ilvl="2" w:tentative="0">
      <w:start w:val="1"/>
      <w:numFmt w:val="decimal"/>
      <w:lvlText w:val="%1.%2.%3"/>
      <w:lvlJc w:val="left"/>
      <w:pPr>
        <w:ind w:left="851" w:hanging="851"/>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7">
    <w:nsid w:val="60F1FA06"/>
    <w:multiLevelType w:val="singleLevel"/>
    <w:tmpl w:val="60F1FA06"/>
    <w:lvl w:ilvl="0" w:tentative="0">
      <w:start w:val="1"/>
      <w:numFmt w:val="decimal"/>
      <w:suff w:val="nothing"/>
      <w:lvlText w:val="（%1）"/>
      <w:lvlJc w:val="left"/>
    </w:lvl>
  </w:abstractNum>
  <w:num w:numId="1">
    <w:abstractNumId w:val="4"/>
  </w:num>
  <w:num w:numId="2">
    <w:abstractNumId w:val="6"/>
  </w:num>
  <w:num w:numId="3">
    <w:abstractNumId w:val="1"/>
  </w:num>
  <w:num w:numId="4">
    <w:abstractNumId w:val="7"/>
  </w:num>
  <w:num w:numId="5">
    <w:abstractNumId w:val="3"/>
  </w:num>
  <w:num w:numId="6">
    <w:abstractNumId w:val="2"/>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1"/>
  </w:compat>
  <w:rsids>
    <w:rsidRoot w:val="2C090981"/>
    <w:rsid w:val="00043D80"/>
    <w:rsid w:val="0007709B"/>
    <w:rsid w:val="000D05BC"/>
    <w:rsid w:val="00102CC4"/>
    <w:rsid w:val="00103A43"/>
    <w:rsid w:val="001257C7"/>
    <w:rsid w:val="00133829"/>
    <w:rsid w:val="001433CF"/>
    <w:rsid w:val="0015687E"/>
    <w:rsid w:val="001777A7"/>
    <w:rsid w:val="001C5816"/>
    <w:rsid w:val="001D13F1"/>
    <w:rsid w:val="001D69DD"/>
    <w:rsid w:val="001F27B4"/>
    <w:rsid w:val="00211736"/>
    <w:rsid w:val="002366FF"/>
    <w:rsid w:val="00265AAF"/>
    <w:rsid w:val="002873D1"/>
    <w:rsid w:val="0030697A"/>
    <w:rsid w:val="00367938"/>
    <w:rsid w:val="00372569"/>
    <w:rsid w:val="003808BF"/>
    <w:rsid w:val="00387E2E"/>
    <w:rsid w:val="0039679C"/>
    <w:rsid w:val="003A301E"/>
    <w:rsid w:val="003A40F1"/>
    <w:rsid w:val="003E0739"/>
    <w:rsid w:val="003E3D71"/>
    <w:rsid w:val="003E75A7"/>
    <w:rsid w:val="00407905"/>
    <w:rsid w:val="004204B0"/>
    <w:rsid w:val="00426466"/>
    <w:rsid w:val="004731F1"/>
    <w:rsid w:val="00493546"/>
    <w:rsid w:val="004A3575"/>
    <w:rsid w:val="004B71A3"/>
    <w:rsid w:val="004E2F29"/>
    <w:rsid w:val="004F2D5F"/>
    <w:rsid w:val="004F4607"/>
    <w:rsid w:val="004F6B39"/>
    <w:rsid w:val="00502DD8"/>
    <w:rsid w:val="00534A7F"/>
    <w:rsid w:val="00551F4A"/>
    <w:rsid w:val="00591ABC"/>
    <w:rsid w:val="00596964"/>
    <w:rsid w:val="005B7368"/>
    <w:rsid w:val="005C175C"/>
    <w:rsid w:val="005C69B2"/>
    <w:rsid w:val="005E5FDB"/>
    <w:rsid w:val="005F3DE8"/>
    <w:rsid w:val="00620F56"/>
    <w:rsid w:val="00623311"/>
    <w:rsid w:val="00625FF2"/>
    <w:rsid w:val="00642DA3"/>
    <w:rsid w:val="00645643"/>
    <w:rsid w:val="006532A8"/>
    <w:rsid w:val="006A1B67"/>
    <w:rsid w:val="006C3EDF"/>
    <w:rsid w:val="006E42D9"/>
    <w:rsid w:val="00733471"/>
    <w:rsid w:val="00780F70"/>
    <w:rsid w:val="00783A7F"/>
    <w:rsid w:val="007A5F0C"/>
    <w:rsid w:val="007A717B"/>
    <w:rsid w:val="007C11DA"/>
    <w:rsid w:val="00803727"/>
    <w:rsid w:val="00842B22"/>
    <w:rsid w:val="00872D27"/>
    <w:rsid w:val="008B1608"/>
    <w:rsid w:val="008B21A3"/>
    <w:rsid w:val="008F7F5F"/>
    <w:rsid w:val="009307C2"/>
    <w:rsid w:val="0094068E"/>
    <w:rsid w:val="00946D41"/>
    <w:rsid w:val="00976476"/>
    <w:rsid w:val="009D3812"/>
    <w:rsid w:val="009D7618"/>
    <w:rsid w:val="00A038C5"/>
    <w:rsid w:val="00A765D6"/>
    <w:rsid w:val="00A90EDD"/>
    <w:rsid w:val="00AC4F5D"/>
    <w:rsid w:val="00AD29C3"/>
    <w:rsid w:val="00AD32A9"/>
    <w:rsid w:val="00AE0E7C"/>
    <w:rsid w:val="00B010AB"/>
    <w:rsid w:val="00B02D8D"/>
    <w:rsid w:val="00B1794B"/>
    <w:rsid w:val="00B31AF4"/>
    <w:rsid w:val="00B640C7"/>
    <w:rsid w:val="00B92E29"/>
    <w:rsid w:val="00B94FF0"/>
    <w:rsid w:val="00BC75AA"/>
    <w:rsid w:val="00BE05E2"/>
    <w:rsid w:val="00D254E6"/>
    <w:rsid w:val="00D40588"/>
    <w:rsid w:val="00D63856"/>
    <w:rsid w:val="00D733B3"/>
    <w:rsid w:val="00DE6065"/>
    <w:rsid w:val="00E20EBB"/>
    <w:rsid w:val="00E25740"/>
    <w:rsid w:val="00E71EE8"/>
    <w:rsid w:val="00E903AA"/>
    <w:rsid w:val="00EA3E20"/>
    <w:rsid w:val="00EB1C1D"/>
    <w:rsid w:val="00F014CE"/>
    <w:rsid w:val="00F02102"/>
    <w:rsid w:val="00F04C1D"/>
    <w:rsid w:val="00F36182"/>
    <w:rsid w:val="00F42D7F"/>
    <w:rsid w:val="00F755DC"/>
    <w:rsid w:val="00F77050"/>
    <w:rsid w:val="00F91302"/>
    <w:rsid w:val="014967D6"/>
    <w:rsid w:val="01630B50"/>
    <w:rsid w:val="01EB2719"/>
    <w:rsid w:val="062F0EE3"/>
    <w:rsid w:val="08AC7DA3"/>
    <w:rsid w:val="09343B91"/>
    <w:rsid w:val="0960515C"/>
    <w:rsid w:val="0AE23BEC"/>
    <w:rsid w:val="0B0538EB"/>
    <w:rsid w:val="0B451871"/>
    <w:rsid w:val="0C3B7ECA"/>
    <w:rsid w:val="0D4B7E66"/>
    <w:rsid w:val="0D751E25"/>
    <w:rsid w:val="0E9B1995"/>
    <w:rsid w:val="0F9C204F"/>
    <w:rsid w:val="0FC04B28"/>
    <w:rsid w:val="10FF3BAF"/>
    <w:rsid w:val="11BD2D2B"/>
    <w:rsid w:val="11F531FB"/>
    <w:rsid w:val="1263355E"/>
    <w:rsid w:val="12FA254D"/>
    <w:rsid w:val="13A7565A"/>
    <w:rsid w:val="156671DD"/>
    <w:rsid w:val="160938AE"/>
    <w:rsid w:val="16C66119"/>
    <w:rsid w:val="173B111A"/>
    <w:rsid w:val="17FC7B83"/>
    <w:rsid w:val="190A583C"/>
    <w:rsid w:val="195F55F7"/>
    <w:rsid w:val="1A0B37B1"/>
    <w:rsid w:val="1A227CF5"/>
    <w:rsid w:val="1B37626B"/>
    <w:rsid w:val="1B476E52"/>
    <w:rsid w:val="1BF40A4A"/>
    <w:rsid w:val="1DC32C21"/>
    <w:rsid w:val="1E47548C"/>
    <w:rsid w:val="1F396050"/>
    <w:rsid w:val="1FD4311A"/>
    <w:rsid w:val="20FD2B08"/>
    <w:rsid w:val="211079C7"/>
    <w:rsid w:val="211655E5"/>
    <w:rsid w:val="21166DB6"/>
    <w:rsid w:val="22A70CF8"/>
    <w:rsid w:val="22BC2FD4"/>
    <w:rsid w:val="22CD1C55"/>
    <w:rsid w:val="23CD0B91"/>
    <w:rsid w:val="25D40C04"/>
    <w:rsid w:val="266167C1"/>
    <w:rsid w:val="2713569C"/>
    <w:rsid w:val="27E21B5E"/>
    <w:rsid w:val="27FF25B6"/>
    <w:rsid w:val="28182904"/>
    <w:rsid w:val="287D6A6F"/>
    <w:rsid w:val="28D9152A"/>
    <w:rsid w:val="293868CB"/>
    <w:rsid w:val="29BA1552"/>
    <w:rsid w:val="29E50A72"/>
    <w:rsid w:val="2AA23548"/>
    <w:rsid w:val="2C090981"/>
    <w:rsid w:val="2CDD3874"/>
    <w:rsid w:val="2CFA78A1"/>
    <w:rsid w:val="2D6169ED"/>
    <w:rsid w:val="2E0C265B"/>
    <w:rsid w:val="2E661394"/>
    <w:rsid w:val="2F963535"/>
    <w:rsid w:val="2F9D143F"/>
    <w:rsid w:val="30133609"/>
    <w:rsid w:val="30182CF6"/>
    <w:rsid w:val="30F81012"/>
    <w:rsid w:val="31151FFB"/>
    <w:rsid w:val="314F2F37"/>
    <w:rsid w:val="325E00E6"/>
    <w:rsid w:val="32AD6F7B"/>
    <w:rsid w:val="32F55611"/>
    <w:rsid w:val="33B7227A"/>
    <w:rsid w:val="33BD7252"/>
    <w:rsid w:val="347331DE"/>
    <w:rsid w:val="350204A8"/>
    <w:rsid w:val="352853AB"/>
    <w:rsid w:val="355255AF"/>
    <w:rsid w:val="35C92906"/>
    <w:rsid w:val="36AF5F06"/>
    <w:rsid w:val="36B629BA"/>
    <w:rsid w:val="36FB100E"/>
    <w:rsid w:val="3711302C"/>
    <w:rsid w:val="37933DB0"/>
    <w:rsid w:val="37E81AAA"/>
    <w:rsid w:val="38600CE0"/>
    <w:rsid w:val="38BA543C"/>
    <w:rsid w:val="391D0EF4"/>
    <w:rsid w:val="3A2D04FE"/>
    <w:rsid w:val="3AAD72CB"/>
    <w:rsid w:val="3C354D4E"/>
    <w:rsid w:val="3CB62A7E"/>
    <w:rsid w:val="3D0C64A9"/>
    <w:rsid w:val="3D444534"/>
    <w:rsid w:val="3E0423A3"/>
    <w:rsid w:val="3E1D0A2C"/>
    <w:rsid w:val="3FC5066F"/>
    <w:rsid w:val="408A20BB"/>
    <w:rsid w:val="417A0350"/>
    <w:rsid w:val="424C29F6"/>
    <w:rsid w:val="42935143"/>
    <w:rsid w:val="42B3535C"/>
    <w:rsid w:val="42BC3DE8"/>
    <w:rsid w:val="43511433"/>
    <w:rsid w:val="4399293D"/>
    <w:rsid w:val="440A7621"/>
    <w:rsid w:val="45133650"/>
    <w:rsid w:val="45183B48"/>
    <w:rsid w:val="453C538A"/>
    <w:rsid w:val="45803C4B"/>
    <w:rsid w:val="45DA4C94"/>
    <w:rsid w:val="46637837"/>
    <w:rsid w:val="46930AB3"/>
    <w:rsid w:val="46D942ED"/>
    <w:rsid w:val="478C359A"/>
    <w:rsid w:val="48DF4AE2"/>
    <w:rsid w:val="490032F1"/>
    <w:rsid w:val="4919715C"/>
    <w:rsid w:val="4B1A5304"/>
    <w:rsid w:val="4B3E6079"/>
    <w:rsid w:val="4BC2153E"/>
    <w:rsid w:val="4C2F6509"/>
    <w:rsid w:val="4D2E14DF"/>
    <w:rsid w:val="4D7D1C86"/>
    <w:rsid w:val="50102046"/>
    <w:rsid w:val="50492966"/>
    <w:rsid w:val="508F6B4C"/>
    <w:rsid w:val="50B53EAB"/>
    <w:rsid w:val="51020795"/>
    <w:rsid w:val="51A43C53"/>
    <w:rsid w:val="51AE0BFB"/>
    <w:rsid w:val="53667AB9"/>
    <w:rsid w:val="54803168"/>
    <w:rsid w:val="54FE4F22"/>
    <w:rsid w:val="552F5F40"/>
    <w:rsid w:val="55F90611"/>
    <w:rsid w:val="56E63099"/>
    <w:rsid w:val="5715478A"/>
    <w:rsid w:val="57B50C42"/>
    <w:rsid w:val="58FD3706"/>
    <w:rsid w:val="59155138"/>
    <w:rsid w:val="59D664F8"/>
    <w:rsid w:val="5A2B6AAE"/>
    <w:rsid w:val="5D1C7A87"/>
    <w:rsid w:val="5D653632"/>
    <w:rsid w:val="5D773DF2"/>
    <w:rsid w:val="5E282D51"/>
    <w:rsid w:val="5EAB2843"/>
    <w:rsid w:val="5EC87160"/>
    <w:rsid w:val="5F4C74D2"/>
    <w:rsid w:val="5FB648FD"/>
    <w:rsid w:val="5FC27B3E"/>
    <w:rsid w:val="5FE10342"/>
    <w:rsid w:val="607E46A5"/>
    <w:rsid w:val="612112D9"/>
    <w:rsid w:val="616B6529"/>
    <w:rsid w:val="61EF2F63"/>
    <w:rsid w:val="621273DF"/>
    <w:rsid w:val="63716BF5"/>
    <w:rsid w:val="6387084F"/>
    <w:rsid w:val="64BD0391"/>
    <w:rsid w:val="64DC115F"/>
    <w:rsid w:val="6513222C"/>
    <w:rsid w:val="65A70464"/>
    <w:rsid w:val="65B92F74"/>
    <w:rsid w:val="661D4AF5"/>
    <w:rsid w:val="66612A88"/>
    <w:rsid w:val="666E66BE"/>
    <w:rsid w:val="670B3EA5"/>
    <w:rsid w:val="679B5153"/>
    <w:rsid w:val="67BA7D1B"/>
    <w:rsid w:val="69321760"/>
    <w:rsid w:val="693C62DC"/>
    <w:rsid w:val="69CA309A"/>
    <w:rsid w:val="69E80991"/>
    <w:rsid w:val="6A3D1B5C"/>
    <w:rsid w:val="6A4053F3"/>
    <w:rsid w:val="6ABB60D6"/>
    <w:rsid w:val="6B417316"/>
    <w:rsid w:val="6B6404DD"/>
    <w:rsid w:val="6BA27F08"/>
    <w:rsid w:val="6C393DB6"/>
    <w:rsid w:val="6C5C2032"/>
    <w:rsid w:val="6CD96CE1"/>
    <w:rsid w:val="6CEE710D"/>
    <w:rsid w:val="6DCA2E15"/>
    <w:rsid w:val="6DD37711"/>
    <w:rsid w:val="6DEA5FE9"/>
    <w:rsid w:val="6E725DE2"/>
    <w:rsid w:val="6ED075A8"/>
    <w:rsid w:val="6F225BA3"/>
    <w:rsid w:val="6F7A6081"/>
    <w:rsid w:val="701C1C33"/>
    <w:rsid w:val="702D30B3"/>
    <w:rsid w:val="719B0F60"/>
    <w:rsid w:val="71C255E4"/>
    <w:rsid w:val="72170C92"/>
    <w:rsid w:val="72E913DA"/>
    <w:rsid w:val="72F772B8"/>
    <w:rsid w:val="73DC5B2F"/>
    <w:rsid w:val="74441850"/>
    <w:rsid w:val="750E317D"/>
    <w:rsid w:val="756F473A"/>
    <w:rsid w:val="757F5E82"/>
    <w:rsid w:val="759714EE"/>
    <w:rsid w:val="762A185D"/>
    <w:rsid w:val="770E40D2"/>
    <w:rsid w:val="771D3D0F"/>
    <w:rsid w:val="77242150"/>
    <w:rsid w:val="781F7E4D"/>
    <w:rsid w:val="791212CA"/>
    <w:rsid w:val="79AF79E9"/>
    <w:rsid w:val="79D253AB"/>
    <w:rsid w:val="7ACB47F6"/>
    <w:rsid w:val="7B5D51CA"/>
    <w:rsid w:val="7BCB4239"/>
    <w:rsid w:val="7C2B5049"/>
    <w:rsid w:val="7CDB6A1B"/>
    <w:rsid w:val="7D6708E7"/>
    <w:rsid w:val="7DA81748"/>
    <w:rsid w:val="7E1538EA"/>
    <w:rsid w:val="7E1A7844"/>
    <w:rsid w:val="7E2E1960"/>
    <w:rsid w:val="7E416406"/>
    <w:rsid w:val="7F50445F"/>
    <w:rsid w:val="7FBA7DB2"/>
    <w:rsid w:val="7FF40D6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rules v:ext="edit">
        <o:r id="V:Rule1" type="connector" idref="#Straight Connector 1029"/>
        <o:r id="V:Rule2" type="connector" idref="#Straight Connector 7211"/>
        <o:r id="V:Rule3" type="connector" idref="#Straight Connector 2046"/>
        <o:r id="V:Rule4" type="connector" idref="#Straight Connector 2045"/>
        <o:r id="V:Rule5" type="connector" idref="#Straight Connector 7210"/>
        <o:r id="V:Rule6" type="connector" idref="#Straight Connector 7193"/>
        <o:r id="V:Rule7" type="connector" idref="#Straight Connector 719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4"/>
      <w:lang w:val="en-US" w:eastAsia="zh-CN" w:bidi="ar-SA"/>
    </w:rPr>
  </w:style>
  <w:style w:type="paragraph" w:styleId="4">
    <w:name w:val="heading 1"/>
    <w:basedOn w:val="1"/>
    <w:next w:val="1"/>
    <w:link w:val="47"/>
    <w:qFormat/>
    <w:uiPriority w:val="0"/>
    <w:pPr>
      <w:keepNext/>
      <w:keepLines/>
      <w:spacing w:before="340" w:line="360" w:lineRule="auto"/>
      <w:jc w:val="center"/>
      <w:outlineLvl w:val="0"/>
    </w:pPr>
    <w:rPr>
      <w:rFonts w:ascii="Times New Roman" w:hAnsi="Times New Roman" w:eastAsia="宋体"/>
      <w:b/>
      <w:bCs/>
      <w:kern w:val="44"/>
      <w:sz w:val="30"/>
      <w:szCs w:val="44"/>
    </w:rPr>
  </w:style>
  <w:style w:type="paragraph" w:styleId="5">
    <w:name w:val="heading 2"/>
    <w:basedOn w:val="1"/>
    <w:next w:val="1"/>
    <w:unhideWhenUsed/>
    <w:qFormat/>
    <w:uiPriority w:val="0"/>
    <w:pPr>
      <w:keepNext/>
      <w:keepLines/>
      <w:spacing w:line="360" w:lineRule="auto"/>
      <w:outlineLvl w:val="1"/>
    </w:pPr>
    <w:rPr>
      <w:rFonts w:ascii="Arial" w:hAnsi="Arial" w:eastAsia="宋体"/>
      <w:b/>
      <w:bCs/>
      <w:sz w:val="28"/>
      <w:szCs w:val="32"/>
    </w:rPr>
  </w:style>
  <w:style w:type="paragraph" w:styleId="6">
    <w:name w:val="heading 3"/>
    <w:basedOn w:val="1"/>
    <w:next w:val="1"/>
    <w:qFormat/>
    <w:uiPriority w:val="0"/>
    <w:pPr>
      <w:keepNext/>
      <w:keepLines/>
      <w:spacing w:line="416" w:lineRule="auto"/>
      <w:outlineLvl w:val="2"/>
    </w:pPr>
    <w:rPr>
      <w:rFonts w:eastAsia="宋体"/>
      <w:b/>
      <w:bCs/>
      <w:sz w:val="32"/>
      <w:szCs w:val="32"/>
    </w:rPr>
  </w:style>
  <w:style w:type="character" w:default="1" w:styleId="23">
    <w:name w:val="Default Paragraph Font"/>
    <w:unhideWhenUsed/>
    <w:qFormat/>
    <w:uiPriority w:val="1"/>
  </w:style>
  <w:style w:type="table" w:default="1" w:styleId="27">
    <w:name w:val="Normal Table"/>
    <w:unhideWhenUsed/>
    <w:qFormat/>
    <w:uiPriority w:val="99"/>
    <w:tblPr>
      <w:tblLayout w:type="fixed"/>
      <w:tblCellMar>
        <w:top w:w="0" w:type="dxa"/>
        <w:left w:w="108" w:type="dxa"/>
        <w:bottom w:w="0" w:type="dxa"/>
        <w:right w:w="108" w:type="dxa"/>
      </w:tblCellMar>
    </w:tblPr>
  </w:style>
  <w:style w:type="paragraph" w:styleId="2">
    <w:name w:val="Body Text First Indent 2"/>
    <w:basedOn w:val="3"/>
    <w:qFormat/>
    <w:uiPriority w:val="0"/>
    <w:pPr>
      <w:spacing w:after="120"/>
      <w:ind w:left="420" w:leftChars="200" w:firstLine="420" w:firstLineChars="200"/>
    </w:pPr>
    <w:rPr>
      <w:rFonts w:ascii="Times New Roman" w:hAnsi="Times New Roman"/>
      <w:sz w:val="21"/>
    </w:rPr>
  </w:style>
  <w:style w:type="paragraph" w:styleId="3">
    <w:name w:val="Body Text Indent"/>
    <w:basedOn w:val="1"/>
    <w:qFormat/>
    <w:uiPriority w:val="0"/>
    <w:pPr>
      <w:ind w:firstLine="280" w:firstLineChars="100"/>
    </w:pPr>
    <w:rPr>
      <w:rFonts w:ascii="宋体" w:hAnsi="宋体"/>
      <w:sz w:val="28"/>
    </w:rPr>
  </w:style>
  <w:style w:type="paragraph" w:styleId="7">
    <w:name w:val="annotation subject"/>
    <w:basedOn w:val="8"/>
    <w:next w:val="8"/>
    <w:link w:val="58"/>
    <w:qFormat/>
    <w:uiPriority w:val="0"/>
    <w:rPr>
      <w:b/>
      <w:bCs/>
    </w:rPr>
  </w:style>
  <w:style w:type="paragraph" w:styleId="8">
    <w:name w:val="annotation text"/>
    <w:basedOn w:val="1"/>
    <w:link w:val="57"/>
    <w:qFormat/>
    <w:uiPriority w:val="0"/>
    <w:pPr>
      <w:jc w:val="left"/>
    </w:pPr>
  </w:style>
  <w:style w:type="paragraph" w:styleId="9">
    <w:name w:val="Body Text First Indent"/>
    <w:basedOn w:val="10"/>
    <w:link w:val="52"/>
    <w:qFormat/>
    <w:uiPriority w:val="0"/>
    <w:pPr>
      <w:ind w:firstLine="420" w:firstLineChars="100"/>
    </w:pPr>
    <w:rPr>
      <w:rFonts w:ascii="Times New Roman" w:hAnsi="Times New Roman" w:eastAsia="宋体" w:cs="Times New Roman"/>
      <w:sz w:val="24"/>
    </w:rPr>
  </w:style>
  <w:style w:type="paragraph" w:styleId="10">
    <w:name w:val="Body Text"/>
    <w:basedOn w:val="1"/>
    <w:link w:val="51"/>
    <w:qFormat/>
    <w:uiPriority w:val="0"/>
    <w:pPr>
      <w:spacing w:after="120"/>
    </w:pPr>
  </w:style>
  <w:style w:type="paragraph" w:styleId="11">
    <w:name w:val="Note Heading"/>
    <w:basedOn w:val="1"/>
    <w:next w:val="1"/>
    <w:link w:val="53"/>
    <w:qFormat/>
    <w:uiPriority w:val="0"/>
    <w:pPr>
      <w:spacing w:beforeLines="50" w:afterLines="50"/>
      <w:jc w:val="center"/>
    </w:pPr>
    <w:rPr>
      <w:rFonts w:eastAsia="黑体"/>
      <w:sz w:val="24"/>
    </w:rPr>
  </w:style>
  <w:style w:type="paragraph" w:styleId="12">
    <w:name w:val="Normal Indent"/>
    <w:basedOn w:val="1"/>
    <w:qFormat/>
    <w:uiPriority w:val="0"/>
    <w:pPr>
      <w:ind w:firstLine="420" w:firstLineChars="200"/>
    </w:pPr>
  </w:style>
  <w:style w:type="paragraph" w:styleId="13">
    <w:name w:val="List Bullet 2"/>
    <w:basedOn w:val="1"/>
    <w:qFormat/>
    <w:uiPriority w:val="0"/>
    <w:pPr>
      <w:numPr>
        <w:ilvl w:val="0"/>
        <w:numId w:val="1"/>
      </w:numPr>
    </w:pPr>
  </w:style>
  <w:style w:type="paragraph" w:styleId="14">
    <w:name w:val="Plain Text"/>
    <w:basedOn w:val="1"/>
    <w:qFormat/>
    <w:uiPriority w:val="0"/>
    <w:rPr>
      <w:rFonts w:ascii="宋体" w:hAnsi="Courier New" w:cs="Courier New"/>
      <w:szCs w:val="21"/>
    </w:rPr>
  </w:style>
  <w:style w:type="paragraph" w:styleId="15">
    <w:name w:val="Balloon Text"/>
    <w:basedOn w:val="1"/>
    <w:link w:val="48"/>
    <w:qFormat/>
    <w:uiPriority w:val="0"/>
    <w:rPr>
      <w:sz w:val="18"/>
      <w:szCs w:val="18"/>
    </w:rPr>
  </w:style>
  <w:style w:type="paragraph" w:styleId="16">
    <w:name w:val="footer"/>
    <w:basedOn w:val="1"/>
    <w:link w:val="54"/>
    <w:qFormat/>
    <w:uiPriority w:val="0"/>
    <w:pPr>
      <w:tabs>
        <w:tab w:val="center" w:pos="4153"/>
        <w:tab w:val="right" w:pos="8306"/>
      </w:tabs>
      <w:snapToGrid w:val="0"/>
      <w:jc w:val="left"/>
    </w:pPr>
    <w:rPr>
      <w:sz w:val="18"/>
      <w:szCs w:val="18"/>
    </w:rPr>
  </w:style>
  <w:style w:type="paragraph" w:styleId="17">
    <w:name w:val="header"/>
    <w:basedOn w:val="1"/>
    <w:link w:val="55"/>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uiPriority w:val="0"/>
    <w:pPr>
      <w:tabs>
        <w:tab w:val="right" w:leader="dot" w:pos="8296"/>
      </w:tabs>
      <w:jc w:val="center"/>
    </w:pPr>
    <w:rPr>
      <w:b/>
      <w:sz w:val="28"/>
      <w:szCs w:val="28"/>
    </w:rPr>
  </w:style>
  <w:style w:type="paragraph" w:styleId="19">
    <w:name w:val="Body Text Indent 3"/>
    <w:basedOn w:val="1"/>
    <w:qFormat/>
    <w:uiPriority w:val="0"/>
    <w:pPr>
      <w:spacing w:after="120"/>
      <w:ind w:left="420" w:leftChars="200"/>
    </w:pPr>
    <w:rPr>
      <w:sz w:val="16"/>
      <w:szCs w:val="16"/>
    </w:rPr>
  </w:style>
  <w:style w:type="paragraph" w:styleId="20">
    <w:name w:val="toc 2"/>
    <w:basedOn w:val="1"/>
    <w:next w:val="1"/>
    <w:qFormat/>
    <w:uiPriority w:val="0"/>
    <w:pPr>
      <w:tabs>
        <w:tab w:val="right" w:leader="dot" w:pos="8296"/>
      </w:tabs>
      <w:spacing w:line="360" w:lineRule="auto"/>
      <w:ind w:left="420" w:leftChars="200"/>
    </w:pPr>
  </w:style>
  <w:style w:type="paragraph" w:styleId="21">
    <w:name w:val="Normal (Web)"/>
    <w:basedOn w:val="1"/>
    <w:qFormat/>
    <w:uiPriority w:val="0"/>
    <w:pPr>
      <w:spacing w:beforeAutospacing="1" w:afterAutospacing="1"/>
      <w:jc w:val="left"/>
    </w:pPr>
    <w:rPr>
      <w:rFonts w:cs="Times New Roman"/>
      <w:kern w:val="0"/>
      <w:sz w:val="24"/>
    </w:rPr>
  </w:style>
  <w:style w:type="paragraph" w:styleId="22">
    <w:name w:val="Title"/>
    <w:basedOn w:val="1"/>
    <w:next w:val="1"/>
    <w:qFormat/>
    <w:uiPriority w:val="0"/>
    <w:pPr>
      <w:numPr>
        <w:ilvl w:val="0"/>
        <w:numId w:val="2"/>
      </w:numPr>
      <w:adjustRightInd w:val="0"/>
      <w:spacing w:before="240" w:after="60" w:line="360" w:lineRule="auto"/>
      <w:jc w:val="center"/>
      <w:textAlignment w:val="baseline"/>
      <w:outlineLvl w:val="0"/>
    </w:pPr>
    <w:rPr>
      <w:rFonts w:ascii="Cambria" w:hAnsi="Cambria"/>
      <w:b/>
      <w:bCs/>
      <w:kern w:val="0"/>
      <w:sz w:val="32"/>
      <w:szCs w:val="32"/>
    </w:rPr>
  </w:style>
  <w:style w:type="character" w:styleId="24">
    <w:name w:val="page number"/>
    <w:basedOn w:val="23"/>
    <w:qFormat/>
    <w:uiPriority w:val="0"/>
  </w:style>
  <w:style w:type="character" w:styleId="25">
    <w:name w:val="Hyperlink"/>
    <w:basedOn w:val="23"/>
    <w:qFormat/>
    <w:uiPriority w:val="0"/>
    <w:rPr>
      <w:color w:val="0000FF"/>
      <w:u w:val="single"/>
    </w:rPr>
  </w:style>
  <w:style w:type="character" w:styleId="26">
    <w:name w:val="annotation reference"/>
    <w:basedOn w:val="23"/>
    <w:qFormat/>
    <w:uiPriority w:val="0"/>
    <w:rPr>
      <w:sz w:val="21"/>
      <w:szCs w:val="21"/>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9">
    <w:name w:val="Char Char Char Char Char2 Char Char Char Char"/>
    <w:basedOn w:val="1"/>
    <w:semiHidden/>
    <w:qFormat/>
    <w:uiPriority w:val="0"/>
    <w:pPr>
      <w:adjustRightInd w:val="0"/>
      <w:snapToGrid w:val="0"/>
      <w:spacing w:line="360" w:lineRule="auto"/>
      <w:ind w:firstLine="200" w:firstLineChars="200"/>
    </w:pPr>
    <w:rPr>
      <w:rFonts w:ascii="宋体" w:hAnsi="宋体" w:cs="宋体"/>
      <w:sz w:val="24"/>
      <w:szCs w:val="26"/>
    </w:rPr>
  </w:style>
  <w:style w:type="paragraph" w:customStyle="1" w:styleId="30">
    <w:name w:val="正文-ls"/>
    <w:basedOn w:val="1"/>
    <w:link w:val="50"/>
    <w:qFormat/>
    <w:uiPriority w:val="0"/>
    <w:pPr>
      <w:spacing w:line="360" w:lineRule="auto"/>
      <w:ind w:firstLine="200" w:firstLineChars="200"/>
    </w:pPr>
    <w:rPr>
      <w:rFonts w:hAnsi="宋体" w:cs="宋体"/>
      <w:sz w:val="24"/>
      <w:szCs w:val="20"/>
    </w:rPr>
  </w:style>
  <w:style w:type="paragraph" w:customStyle="1" w:styleId="31">
    <w:name w:val="样式1"/>
    <w:basedOn w:val="13"/>
    <w:semiHidden/>
    <w:qFormat/>
    <w:uiPriority w:val="0"/>
    <w:pPr>
      <w:adjustRightInd w:val="0"/>
      <w:snapToGrid w:val="0"/>
      <w:ind w:left="0" w:firstLine="0"/>
      <w:jc w:val="center"/>
      <w:textAlignment w:val="baseline"/>
    </w:pPr>
    <w:rPr>
      <w:rFonts w:eastAsia="仿宋_GB2312"/>
      <w:szCs w:val="21"/>
    </w:rPr>
  </w:style>
  <w:style w:type="paragraph" w:customStyle="1" w:styleId="32">
    <w:name w:val="样式 首行缩进:  1 厘米 段后: 0 磅"/>
    <w:basedOn w:val="1"/>
    <w:qFormat/>
    <w:uiPriority w:val="0"/>
    <w:pPr>
      <w:spacing w:before="60" w:after="60" w:line="520" w:lineRule="exact"/>
      <w:ind w:firstLine="567"/>
    </w:pPr>
    <w:rPr>
      <w:rFonts w:ascii="Arial" w:hAnsi="Arial" w:eastAsia="仿宋_GB2312"/>
      <w:kern w:val="0"/>
      <w:sz w:val="28"/>
      <w:szCs w:val="20"/>
    </w:rPr>
  </w:style>
  <w:style w:type="paragraph" w:customStyle="1" w:styleId="33">
    <w:name w:val="p0"/>
    <w:basedOn w:val="1"/>
    <w:qFormat/>
    <w:uiPriority w:val="0"/>
    <w:pPr>
      <w:widowControl/>
    </w:pPr>
    <w:rPr>
      <w:kern w:val="0"/>
      <w:szCs w:val="21"/>
    </w:rPr>
  </w:style>
  <w:style w:type="paragraph" w:customStyle="1" w:styleId="34">
    <w:name w:val="表格标题"/>
    <w:basedOn w:val="1"/>
    <w:qFormat/>
    <w:uiPriority w:val="0"/>
    <w:pPr>
      <w:jc w:val="center"/>
    </w:pPr>
    <w:rPr>
      <w:b/>
      <w:sz w:val="24"/>
    </w:rPr>
  </w:style>
  <w:style w:type="paragraph" w:customStyle="1" w:styleId="35">
    <w:name w:val="Hu表头"/>
    <w:basedOn w:val="1"/>
    <w:qFormat/>
    <w:uiPriority w:val="0"/>
    <w:pPr>
      <w:adjustRightInd w:val="0"/>
      <w:snapToGrid w:val="0"/>
      <w:jc w:val="center"/>
      <w:textAlignment w:val="baseline"/>
    </w:pPr>
    <w:rPr>
      <w:rFonts w:ascii="宋体" w:hAnsi="宋体"/>
      <w:b/>
      <w:sz w:val="24"/>
      <w:szCs w:val="20"/>
    </w:rPr>
  </w:style>
  <w:style w:type="paragraph" w:customStyle="1" w:styleId="36">
    <w:name w:val="表格"/>
    <w:basedOn w:val="1"/>
    <w:qFormat/>
    <w:uiPriority w:val="0"/>
    <w:pPr>
      <w:widowControl/>
      <w:jc w:val="center"/>
    </w:pPr>
    <w:rPr>
      <w:kern w:val="0"/>
      <w:szCs w:val="20"/>
    </w:rPr>
  </w:style>
  <w:style w:type="paragraph" w:customStyle="1" w:styleId="37">
    <w:name w:val="列出段落1"/>
    <w:basedOn w:val="1"/>
    <w:qFormat/>
    <w:uiPriority w:val="0"/>
    <w:pPr>
      <w:ind w:firstLine="420" w:firstLineChars="200"/>
    </w:pPr>
  </w:style>
  <w:style w:type="paragraph" w:customStyle="1" w:styleId="38">
    <w:name w:val="正文1"/>
    <w:basedOn w:val="1"/>
    <w:qFormat/>
    <w:uiPriority w:val="0"/>
    <w:pPr>
      <w:spacing w:line="360" w:lineRule="auto"/>
      <w:ind w:firstLine="480" w:firstLineChars="200"/>
    </w:pPr>
    <w:rPr>
      <w:rFonts w:ascii="宋体" w:hAnsi="宋体"/>
      <w:bCs/>
      <w:kern w:val="0"/>
    </w:rPr>
  </w:style>
  <w:style w:type="paragraph" w:customStyle="1" w:styleId="39">
    <w:name w:val="样式 首行缩进:  2 字符"/>
    <w:basedOn w:val="1"/>
    <w:qFormat/>
    <w:uiPriority w:val="0"/>
    <w:pPr>
      <w:spacing w:line="360" w:lineRule="auto"/>
      <w:ind w:firstLine="480" w:firstLineChars="200"/>
    </w:pPr>
    <w:rPr>
      <w:rFonts w:cs="宋体"/>
      <w:sz w:val="24"/>
      <w:szCs w:val="20"/>
    </w:rPr>
  </w:style>
  <w:style w:type="paragraph" w:customStyle="1" w:styleId="40">
    <w:name w:val="默认段落字体 Para Char Char Char Char Char Char Char Char Char Char Char Char Char"/>
    <w:basedOn w:val="1"/>
    <w:qFormat/>
    <w:uiPriority w:val="0"/>
    <w:rPr>
      <w:rFonts w:ascii="Times New Roman" w:hAnsi="Times New Roman" w:eastAsia="宋体" w:cs="Times New Roman"/>
      <w:sz w:val="24"/>
    </w:rPr>
  </w:style>
  <w:style w:type="paragraph" w:customStyle="1" w:styleId="41">
    <w:name w:val="样式2（内容）"/>
    <w:basedOn w:val="1"/>
    <w:link w:val="49"/>
    <w:qFormat/>
    <w:uiPriority w:val="0"/>
    <w:pPr>
      <w:spacing w:line="360" w:lineRule="auto"/>
      <w:ind w:firstLine="480" w:firstLineChars="200"/>
    </w:pPr>
    <w:rPr>
      <w:rFonts w:eastAsia="宋体"/>
      <w:sz w:val="24"/>
    </w:rPr>
  </w:style>
  <w:style w:type="paragraph" w:customStyle="1" w:styleId="42">
    <w:name w:val="列出段落2"/>
    <w:basedOn w:val="1"/>
    <w:qFormat/>
    <w:uiPriority w:val="0"/>
    <w:pPr>
      <w:ind w:firstLine="420" w:firstLineChars="200"/>
    </w:pPr>
    <w:rPr>
      <w:rFonts w:ascii="Times New Roman" w:hAnsi="Times New Roman" w:eastAsia="宋体" w:cs="Times New Roman"/>
      <w:sz w:val="24"/>
    </w:rPr>
  </w:style>
  <w:style w:type="paragraph" w:customStyle="1" w:styleId="43">
    <w:name w:val="正文文本缩进1"/>
    <w:basedOn w:val="1"/>
    <w:qFormat/>
    <w:uiPriority w:val="0"/>
    <w:pPr>
      <w:spacing w:line="233" w:lineRule="auto"/>
      <w:ind w:firstLine="570"/>
      <w:textAlignment w:val="baseline"/>
    </w:pPr>
    <w:rPr>
      <w:rFonts w:ascii="仿宋_GB2312" w:hAnsi="Times New Roman" w:eastAsia="仿宋_GB2312" w:cs="Times New Roman"/>
      <w:sz w:val="28"/>
      <w:szCs w:val="20"/>
    </w:rPr>
  </w:style>
  <w:style w:type="paragraph" w:customStyle="1" w:styleId="44">
    <w:name w:val="普通(网站)1"/>
    <w:basedOn w:val="1"/>
    <w:qFormat/>
    <w:uiPriority w:val="0"/>
    <w:pPr>
      <w:spacing w:beforeAutospacing="1" w:afterAutospacing="1"/>
    </w:pPr>
    <w:rPr>
      <w:rFonts w:ascii="宋体" w:hAnsi="宋体" w:eastAsia="宋体" w:cs="宋体"/>
      <w:sz w:val="24"/>
    </w:rPr>
  </w:style>
  <w:style w:type="paragraph" w:customStyle="1" w:styleId="45">
    <w:name w:val="样式 样式 正文首行缩进 2 + 小四 首行缩进:  2 字符 + 左侧:  2 字符 首行缩进:  2 字符 段后: 0 ..."/>
    <w:basedOn w:val="1"/>
    <w:qFormat/>
    <w:uiPriority w:val="0"/>
    <w:pPr>
      <w:spacing w:line="360" w:lineRule="auto"/>
      <w:ind w:left="200" w:leftChars="200" w:firstLine="200" w:firstLineChars="200"/>
    </w:pPr>
    <w:rPr>
      <w:sz w:val="24"/>
      <w:szCs w:val="20"/>
    </w:rPr>
  </w:style>
  <w:style w:type="paragraph" w:customStyle="1" w:styleId="46">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47">
    <w:name w:val="标题 1 Char"/>
    <w:basedOn w:val="23"/>
    <w:link w:val="4"/>
    <w:qFormat/>
    <w:uiPriority w:val="0"/>
    <w:rPr>
      <w:rFonts w:ascii="Times New Roman" w:hAnsi="Times New Roman" w:eastAsia="宋体"/>
      <w:b/>
      <w:bCs/>
      <w:kern w:val="44"/>
      <w:sz w:val="30"/>
      <w:szCs w:val="44"/>
    </w:rPr>
  </w:style>
  <w:style w:type="character" w:customStyle="1" w:styleId="48">
    <w:name w:val="批注框文本 Char"/>
    <w:basedOn w:val="23"/>
    <w:link w:val="15"/>
    <w:qFormat/>
    <w:uiPriority w:val="0"/>
    <w:rPr>
      <w:kern w:val="2"/>
      <w:sz w:val="18"/>
      <w:szCs w:val="18"/>
    </w:rPr>
  </w:style>
  <w:style w:type="character" w:customStyle="1" w:styleId="49">
    <w:name w:val="样式2（内容） Char"/>
    <w:link w:val="41"/>
    <w:qFormat/>
    <w:uiPriority w:val="0"/>
    <w:rPr>
      <w:rFonts w:eastAsia="宋体"/>
      <w:kern w:val="2"/>
      <w:sz w:val="24"/>
      <w:szCs w:val="24"/>
    </w:rPr>
  </w:style>
  <w:style w:type="character" w:customStyle="1" w:styleId="50">
    <w:name w:val="正文-ls Char"/>
    <w:basedOn w:val="23"/>
    <w:link w:val="30"/>
    <w:qFormat/>
    <w:uiPriority w:val="0"/>
    <w:rPr>
      <w:rFonts w:hAnsi="宋体" w:cs="宋体"/>
      <w:kern w:val="2"/>
      <w:sz w:val="24"/>
    </w:rPr>
  </w:style>
  <w:style w:type="character" w:customStyle="1" w:styleId="51">
    <w:name w:val="正文文本 Char"/>
    <w:basedOn w:val="23"/>
    <w:link w:val="10"/>
    <w:qFormat/>
    <w:uiPriority w:val="0"/>
    <w:rPr>
      <w:kern w:val="2"/>
      <w:sz w:val="21"/>
      <w:szCs w:val="24"/>
    </w:rPr>
  </w:style>
  <w:style w:type="character" w:customStyle="1" w:styleId="52">
    <w:name w:val="正文首行缩进 Char"/>
    <w:basedOn w:val="51"/>
    <w:link w:val="9"/>
    <w:qFormat/>
    <w:uiPriority w:val="0"/>
    <w:rPr>
      <w:rFonts w:ascii="Times New Roman" w:hAnsi="Times New Roman" w:eastAsia="宋体" w:cs="Times New Roman"/>
      <w:kern w:val="2"/>
      <w:sz w:val="24"/>
      <w:szCs w:val="24"/>
    </w:rPr>
  </w:style>
  <w:style w:type="character" w:customStyle="1" w:styleId="53">
    <w:name w:val="注释标题 Char"/>
    <w:basedOn w:val="23"/>
    <w:link w:val="11"/>
    <w:qFormat/>
    <w:uiPriority w:val="0"/>
    <w:rPr>
      <w:rFonts w:eastAsia="黑体"/>
      <w:kern w:val="2"/>
      <w:sz w:val="24"/>
      <w:szCs w:val="24"/>
    </w:rPr>
  </w:style>
  <w:style w:type="character" w:customStyle="1" w:styleId="54">
    <w:name w:val="页脚 Char"/>
    <w:basedOn w:val="23"/>
    <w:link w:val="16"/>
    <w:qFormat/>
    <w:uiPriority w:val="0"/>
    <w:rPr>
      <w:kern w:val="2"/>
      <w:sz w:val="18"/>
      <w:szCs w:val="18"/>
    </w:rPr>
  </w:style>
  <w:style w:type="character" w:customStyle="1" w:styleId="55">
    <w:name w:val="页眉 Char"/>
    <w:basedOn w:val="23"/>
    <w:link w:val="17"/>
    <w:qFormat/>
    <w:uiPriority w:val="0"/>
    <w:rPr>
      <w:kern w:val="2"/>
      <w:sz w:val="18"/>
      <w:szCs w:val="18"/>
    </w:rPr>
  </w:style>
  <w:style w:type="character" w:customStyle="1" w:styleId="56">
    <w:name w:val="页码1"/>
    <w:basedOn w:val="23"/>
    <w:qFormat/>
    <w:uiPriority w:val="0"/>
  </w:style>
  <w:style w:type="character" w:customStyle="1" w:styleId="57">
    <w:name w:val="批注文字 Char"/>
    <w:basedOn w:val="23"/>
    <w:link w:val="8"/>
    <w:qFormat/>
    <w:uiPriority w:val="0"/>
    <w:rPr>
      <w:rFonts w:ascii="Calibri" w:hAnsi="Calibri" w:eastAsia="宋体" w:cs="黑体"/>
      <w:kern w:val="2"/>
      <w:sz w:val="21"/>
      <w:szCs w:val="24"/>
    </w:rPr>
  </w:style>
  <w:style w:type="character" w:customStyle="1" w:styleId="58">
    <w:name w:val="批注主题 Char"/>
    <w:basedOn w:val="57"/>
    <w:link w:val="7"/>
    <w:qFormat/>
    <w:uiPriority w:val="0"/>
    <w:rPr>
      <w:rFonts w:ascii="Calibri" w:hAnsi="Calibri" w:eastAsia="宋体" w:cs="黑体"/>
      <w:b/>
      <w:bCs/>
      <w:kern w:val="2"/>
      <w:sz w:val="21"/>
      <w:szCs w:val="24"/>
    </w:rPr>
  </w:style>
  <w:style w:type="character" w:customStyle="1" w:styleId="59">
    <w:name w:val="页码2"/>
    <w:basedOn w:val="23"/>
    <w:qFormat/>
    <w:uiPriority w:val="0"/>
  </w:style>
  <w:style w:type="paragraph" w:styleId="60">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3.xml"/><Relationship Id="rId59" Type="http://schemas.openxmlformats.org/officeDocument/2006/relationships/image" Target="media/image29.jpeg"/><Relationship Id="rId58" Type="http://schemas.openxmlformats.org/officeDocument/2006/relationships/image" Target="media/image28.jpeg"/><Relationship Id="rId57" Type="http://schemas.openxmlformats.org/officeDocument/2006/relationships/image" Target="media/image27.jpeg"/><Relationship Id="rId56" Type="http://schemas.openxmlformats.org/officeDocument/2006/relationships/image" Target="media/image26.jpeg"/><Relationship Id="rId55" Type="http://schemas.openxmlformats.org/officeDocument/2006/relationships/image" Target="media/image25.emf"/><Relationship Id="rId54" Type="http://schemas.openxmlformats.org/officeDocument/2006/relationships/oleObject" Target="embeddings/oleObject6.bin"/><Relationship Id="rId53" Type="http://schemas.openxmlformats.org/officeDocument/2006/relationships/image" Target="media/image24.jpeg"/><Relationship Id="rId52" Type="http://schemas.openxmlformats.org/officeDocument/2006/relationships/image" Target="media/image23.jpeg"/><Relationship Id="rId51" Type="http://schemas.openxmlformats.org/officeDocument/2006/relationships/image" Target="media/image22.jpeg"/><Relationship Id="rId50" Type="http://schemas.openxmlformats.org/officeDocument/2006/relationships/image" Target="media/image21.jpeg"/><Relationship Id="rId5" Type="http://schemas.openxmlformats.org/officeDocument/2006/relationships/header" Target="header1.xml"/><Relationship Id="rId49" Type="http://schemas.openxmlformats.org/officeDocument/2006/relationships/image" Target="media/image20.jpeg"/><Relationship Id="rId48" Type="http://schemas.openxmlformats.org/officeDocument/2006/relationships/image" Target="media/image19.jpeg"/><Relationship Id="rId47" Type="http://schemas.openxmlformats.org/officeDocument/2006/relationships/image" Target="media/image18.jpeg"/><Relationship Id="rId46" Type="http://schemas.openxmlformats.org/officeDocument/2006/relationships/image" Target="media/image17.png"/><Relationship Id="rId45" Type="http://schemas.openxmlformats.org/officeDocument/2006/relationships/image" Target="media/image16.jpeg"/><Relationship Id="rId44" Type="http://schemas.openxmlformats.org/officeDocument/2006/relationships/image" Target="media/image15.jpeg"/><Relationship Id="rId43" Type="http://schemas.openxmlformats.org/officeDocument/2006/relationships/image" Target="media/image14.jpeg"/><Relationship Id="rId42" Type="http://schemas.openxmlformats.org/officeDocument/2006/relationships/image" Target="media/image13.jpeg"/><Relationship Id="rId41" Type="http://schemas.openxmlformats.org/officeDocument/2006/relationships/image" Target="media/image12.png"/><Relationship Id="rId40" Type="http://schemas.openxmlformats.org/officeDocument/2006/relationships/image" Target="media/image11.png"/><Relationship Id="rId4" Type="http://schemas.openxmlformats.org/officeDocument/2006/relationships/footer" Target="footer2.xml"/><Relationship Id="rId39" Type="http://schemas.openxmlformats.org/officeDocument/2006/relationships/image" Target="media/image10.jpeg"/><Relationship Id="rId38" Type="http://schemas.openxmlformats.org/officeDocument/2006/relationships/image" Target="media/image9.jpeg"/><Relationship Id="rId37" Type="http://schemas.openxmlformats.org/officeDocument/2006/relationships/image" Target="media/image8.emf"/><Relationship Id="rId36" Type="http://schemas.openxmlformats.org/officeDocument/2006/relationships/oleObject" Target="embeddings/oleObject5.bin"/><Relationship Id="rId35" Type="http://schemas.openxmlformats.org/officeDocument/2006/relationships/image" Target="media/image7.emf"/><Relationship Id="rId34" Type="http://schemas.openxmlformats.org/officeDocument/2006/relationships/oleObject" Target="embeddings/oleObject4.bin"/><Relationship Id="rId33" Type="http://schemas.openxmlformats.org/officeDocument/2006/relationships/image" Target="media/image6.emf"/><Relationship Id="rId32" Type="http://schemas.openxmlformats.org/officeDocument/2006/relationships/oleObject" Target="embeddings/oleObject3.bin"/><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footer" Target="footer1.xml"/><Relationship Id="rId29" Type="http://schemas.openxmlformats.org/officeDocument/2006/relationships/image" Target="media/image3.png"/><Relationship Id="rId28" Type="http://schemas.openxmlformats.org/officeDocument/2006/relationships/image" Target="media/image2.emf"/><Relationship Id="rId27" Type="http://schemas.openxmlformats.org/officeDocument/2006/relationships/oleObject" Target="embeddings/oleObject2.bin"/><Relationship Id="rId26" Type="http://schemas.openxmlformats.org/officeDocument/2006/relationships/image" Target="media/image1.emf"/><Relationship Id="rId25" Type="http://schemas.openxmlformats.org/officeDocument/2006/relationships/oleObject" Target="embeddings/oleObject1.bin"/><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footer" Target="footer9.xml"/><Relationship Id="rId20" Type="http://schemas.openxmlformats.org/officeDocument/2006/relationships/header" Target="header10.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3076" textRotate="1"/>
    <customShpInfo spid="_x0000_s3077" textRotate="1"/>
    <customShpInfo spid="_x0000_s3078" textRotate="1"/>
    <customShpInfo spid="_x0000_s3079" textRotate="1"/>
    <customShpInfo spid="_x0000_s3080" textRotate="1"/>
    <customShpInfo spid="_x0000_s3081" textRotate="1"/>
    <customShpInfo spid="_x0000_s3082" textRotate="1"/>
    <customShpInfo spid="_x0000_s3086" textRotate="1"/>
    <customShpInfo spid="_x0000_s3083" textRotate="1"/>
    <customShpInfo spid="_x0000_s3087" textRotate="1"/>
    <customShpInfo spid="_x0000_s3075" textRotate="1"/>
    <customShpInfo spid="_x0000_s3074" textRotate="1"/>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135"/>
    <customShpInfo spid="_x0000_s2136"/>
    <customShpInfo spid="_x0000_s2137"/>
    <customShpInfo spid="_x0000_s2138"/>
    <customShpInfo spid="_x0000_s2139"/>
    <customShpInfo spid="_x0000_s2140"/>
    <customShpInfo spid="_x0000_s2141"/>
    <customShpInfo spid="_x0000_s2142"/>
    <customShpInfo spid="_x0000_s2143"/>
    <customShpInfo spid="_x0000_s2144"/>
    <customShpInfo spid="_x0000_s2145"/>
    <customShpInfo spid="_x0000_s2146"/>
    <customShpInfo spid="_x0000_s2147"/>
    <customShpInfo spid="_x0000_s2148"/>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5"/>
    <customShpInfo spid="_x0000_s2176"/>
    <customShpInfo spid="_x0000_s2177"/>
    <customShpInfo spid="_x0000_s2178"/>
    <customShpInfo spid="_x0000_s2179"/>
    <customShpInfo spid="_x0000_s2180"/>
    <customShpInfo spid="_x0000_s2181"/>
    <customShpInfo spid="_x0000_s2182"/>
    <customShpInfo spid="_x0000_s2183"/>
    <customShpInfo spid="_x0000_s2184"/>
    <customShpInfo spid="_x0000_s2185"/>
    <customShpInfo spid="_x0000_s2186"/>
    <customShpInfo spid="_x0000_s2187"/>
    <customShpInfo spid="_x0000_s2188"/>
    <customShpInfo spid="_x0000_s2189"/>
    <customShpInfo spid="_x0000_s2190"/>
    <customShpInfo spid="_x0000_s2191"/>
    <customShpInfo spid="_x0000_s2192"/>
    <customShpInfo spid="_x0000_s2193"/>
    <customShpInfo spid="_x0000_s2194"/>
    <customShpInfo spid="_x0000_s2195"/>
    <customShpInfo spid="_x0000_s2196"/>
    <customShpInfo spid="_x0000_s2197"/>
    <customShpInfo spid="_x0000_s2198"/>
    <customShpInfo spid="_x0000_s2199"/>
    <customShpInfo spid="_x0000_s2200"/>
    <customShpInfo spid="_x0000_s2201"/>
    <customShpInfo spid="_x0000_s2202"/>
    <customShpInfo spid="_x0000_s2203"/>
    <customShpInfo spid="_x0000_s2204"/>
    <customShpInfo spid="_x0000_s2205"/>
    <customShpInfo spid="_x0000_s2206"/>
    <customShpInfo spid="_x0000_s2207"/>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18"/>
    <customShpInfo spid="_x0000_s2219"/>
    <customShpInfo spid="_x0000_s2220"/>
    <customShpInfo spid="_x0000_s2221"/>
    <customShpInfo spid="_x0000_s2222"/>
    <customShpInfo spid="_x0000_s2223"/>
    <customShpInfo spid="_x0000_s2224"/>
    <customShpInfo spid="_x0000_s2225"/>
    <customShpInfo spid="_x0000_s2226"/>
    <customShpInfo spid="_x0000_s2227"/>
    <customShpInfo spid="_x0000_s2228"/>
    <customShpInfo spid="_x0000_s2229"/>
    <customShpInfo spid="_x0000_s2230"/>
    <customShpInfo spid="_x0000_s2231"/>
    <customShpInfo spid="_x0000_s2232"/>
    <customShpInfo spid="_x0000_s2233"/>
    <customShpInfo spid="_x0000_s2234"/>
    <customShpInfo spid="_x0000_s2235"/>
    <customShpInfo spid="_x0000_s2236"/>
    <customShpInfo spid="_x0000_s2237"/>
    <customShpInfo spid="_x0000_s2238"/>
    <customShpInfo spid="_x0000_s2239"/>
    <customShpInfo spid="_x0000_s2240"/>
    <customShpInfo spid="_x0000_s2241"/>
    <customShpInfo spid="_x0000_s2242"/>
    <customShpInfo spid="_x0000_s2243"/>
    <customShpInfo spid="_x0000_s2244"/>
    <customShpInfo spid="_x0000_s2245"/>
    <customShpInfo spid="_x0000_s2246"/>
    <customShpInfo spid="_x0000_s2247"/>
    <customShpInfo spid="_x0000_s2248"/>
    <customShpInfo spid="_x0000_s2249"/>
    <customShpInfo spid="_x0000_s2250"/>
    <customShpInfo spid="_x0000_s2251"/>
    <customShpInfo spid="_x0000_s2252"/>
    <customShpInfo spid="_x0000_s2253"/>
    <customShpInfo spid="_x0000_s2254"/>
    <customShpInfo spid="_x0000_s2255"/>
    <customShpInfo spid="_x0000_s2256"/>
    <customShpInfo spid="_x0000_s2257"/>
    <customShpInfo spid="_x0000_s2258"/>
    <customShpInfo spid="_x0000_s2259"/>
    <customShpInfo spid="_x0000_s2260"/>
    <customShpInfo spid="_x0000_s2261"/>
    <customShpInfo spid="_x0000_s2262"/>
    <customShpInfo spid="_x0000_s2263"/>
    <customShpInfo spid="_x0000_s2264"/>
    <customShpInfo spid="_x0000_s2265"/>
    <customShpInfo spid="_x0000_s2266"/>
    <customShpInfo spid="_x0000_s2267"/>
    <customShpInfo spid="_x0000_s2268"/>
    <customShpInfo spid="_x0000_s2269"/>
    <customShpInfo spid="_x0000_s2270"/>
    <customShpInfo spid="_x0000_s2271"/>
    <customShpInfo spid="_x0000_s2272"/>
    <customShpInfo spid="_x0000_s2273"/>
    <customShpInfo spid="_x0000_s2274"/>
    <customShpInfo spid="_x0000_s2275"/>
    <customShpInfo spid="_x0000_s2276"/>
    <customShpInfo spid="_x0000_s2277"/>
    <customShpInfo spid="_x0000_s2278"/>
    <customShpInfo spid="_x0000_s2279"/>
    <customShpInfo spid="_x0000_s2280"/>
    <customShpInfo spid="_x0000_s2281"/>
    <customShpInfo spid="_x0000_s2282"/>
    <customShpInfo spid="_x0000_s2284"/>
    <customShpInfo spid="_x0000_s2285"/>
    <customShpInfo spid="_x0000_s2286"/>
    <customShpInfo spid="_x0000_s2287"/>
    <customShpInfo spid="_x0000_s2288"/>
    <customShpInfo spid="_x0000_s2289"/>
    <customShpInfo spid="_x0000_s2290"/>
    <customShpInfo spid="_x0000_s2291"/>
    <customShpInfo spid="_x0000_s2292"/>
    <customShpInfo spid="_x0000_s2293"/>
    <customShpInfo spid="_x0000_s2294"/>
    <customShpInfo spid="_x0000_s2295"/>
    <customShpInfo spid="_x0000_s2296"/>
    <customShpInfo spid="_x0000_s2297"/>
    <customShpInfo spid="_x0000_s2298"/>
    <customShpInfo spid="_x0000_s2299"/>
    <customShpInfo spid="_x0000_s2300"/>
    <customShpInfo spid="_x0000_s2301"/>
    <customShpInfo spid="_x0000_s2302"/>
    <customShpInfo spid="_x0000_s2303"/>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16"/>
    <customShpInfo spid="_x0000_s2317"/>
    <customShpInfo spid="_x0000_s2318"/>
    <customShpInfo spid="_x0000_s2319"/>
    <customShpInfo spid="_x0000_s2320"/>
    <customShpInfo spid="_x0000_s2321"/>
    <customShpInfo spid="_x0000_s2322"/>
    <customShpInfo spid="_x0000_s2323"/>
    <customShpInfo spid="_x0000_s2324"/>
    <customShpInfo spid="_x0000_s2325"/>
    <customShpInfo spid="_x0000_s2326"/>
    <customShpInfo spid="_x0000_s2327"/>
    <customShpInfo spid="_x0000_s2328"/>
    <customShpInfo spid="_x0000_s2329"/>
    <customShpInfo spid="_x0000_s2330"/>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1"/>
    <customShpInfo spid="_x0000_s2342"/>
    <customShpInfo spid="_x0000_s2343"/>
    <customShpInfo spid="_x0000_s2344"/>
    <customShpInfo spid="_x0000_s2345"/>
    <customShpInfo spid="_x0000_s2346"/>
    <customShpInfo spid="_x0000_s2347"/>
    <customShpInfo spid="_x0000_s2348"/>
    <customShpInfo spid="_x0000_s2349"/>
    <customShpInfo spid="_x0000_s2350"/>
    <customShpInfo spid="_x0000_s2351"/>
    <customShpInfo spid="_x0000_s2352"/>
    <customShpInfo spid="_x0000_s2353"/>
    <customShpInfo spid="_x0000_s2354"/>
    <customShpInfo spid="_x0000_s2355"/>
    <customShpInfo spid="_x0000_s2356"/>
    <customShpInfo spid="_x0000_s2357"/>
    <customShpInfo spid="_x0000_s2358"/>
    <customShpInfo spid="_x0000_s2359"/>
    <customShpInfo spid="_x0000_s2360"/>
    <customShpInfo spid="_x0000_s2361"/>
    <customShpInfo spid="_x0000_s2362"/>
    <customShpInfo spid="_x0000_s2363"/>
    <customShpInfo spid="_x0000_s2364"/>
    <customShpInfo spid="_x0000_s2365"/>
    <customShpInfo spid="_x0000_s2366"/>
    <customShpInfo spid="_x0000_s2367"/>
    <customShpInfo spid="_x0000_s2368"/>
    <customShpInfo spid="_x0000_s2369"/>
    <customShpInfo spid="_x0000_s2370"/>
    <customShpInfo spid="_x0000_s2371"/>
    <customShpInfo spid="_x0000_s2372"/>
    <customShpInfo spid="_x0000_s2373"/>
    <customShpInfo spid="_x0000_s2374"/>
    <customShpInfo spid="_x0000_s2375"/>
    <customShpInfo spid="_x0000_s2376"/>
    <customShpInfo spid="_x0000_s2377"/>
    <customShpInfo spid="_x0000_s2378"/>
    <customShpInfo spid="_x0000_s2379"/>
    <customShpInfo spid="_x0000_s2380"/>
    <customShpInfo spid="_x0000_s2381"/>
    <customShpInfo spid="_x0000_s2382"/>
    <customShpInfo spid="_x0000_s2383"/>
    <customShpInfo spid="_x0000_s2384"/>
    <customShpInfo spid="_x0000_s2385"/>
    <customShpInfo spid="_x0000_s2386"/>
    <customShpInfo spid="_x0000_s2387"/>
    <customShpInfo spid="_x0000_s2388"/>
    <customShpInfo spid="_x0000_s2389"/>
    <customShpInfo spid="_x0000_s2390"/>
    <customShpInfo spid="_x0000_s2391"/>
    <customShpInfo spid="_x0000_s2392"/>
    <customShpInfo spid="_x0000_s2393"/>
    <customShpInfo spid="_x0000_s2394"/>
    <customShpInfo spid="_x0000_s2395"/>
    <customShpInfo spid="_x0000_s2396"/>
    <customShpInfo spid="_x0000_s2397"/>
    <customShpInfo spid="_x0000_s2398"/>
    <customShpInfo spid="_x0000_s2399"/>
    <customShpInfo spid="_x0000_s2400"/>
    <customShpInfo spid="_x0000_s2401"/>
    <customShpInfo spid="_x0000_s2402"/>
    <customShpInfo spid="_x0000_s2403"/>
    <customShpInfo spid="_x0000_s2404"/>
    <customShpInfo spid="_x0000_s2405"/>
    <customShpInfo spid="_x0000_s2406"/>
    <customShpInfo spid="_x0000_s2407"/>
    <customShpInfo spid="_x0000_s2408"/>
    <customShpInfo spid="_x0000_s2409"/>
    <customShpInfo spid="_x0000_s2410"/>
    <customShpInfo spid="_x0000_s2411"/>
    <customShpInfo spid="_x0000_s2412"/>
    <customShpInfo spid="_x0000_s2413"/>
    <customShpInfo spid="_x0000_s2414"/>
    <customShpInfo spid="_x0000_s2415"/>
    <customShpInfo spid="_x0000_s2416"/>
    <customShpInfo spid="_x0000_s2417"/>
    <customShpInfo spid="_x0000_s2418"/>
    <customShpInfo spid="_x0000_s2419"/>
    <customShpInfo spid="_x0000_s2420"/>
    <customShpInfo spid="_x0000_s2421"/>
    <customShpInfo spid="_x0000_s2422"/>
    <customShpInfo spid="_x0000_s2423"/>
    <customShpInfo spid="_x0000_s2424"/>
    <customShpInfo spid="_x0000_s2425"/>
    <customShpInfo spid="_x0000_s2426"/>
    <customShpInfo spid="_x0000_s2427"/>
    <customShpInfo spid="_x0000_s2428"/>
    <customShpInfo spid="_x0000_s2429"/>
    <customShpInfo spid="_x0000_s2430"/>
    <customShpInfo spid="_x0000_s2431"/>
    <customShpInfo spid="_x0000_s2432"/>
    <customShpInfo spid="_x0000_s2433"/>
    <customShpInfo spid="_x0000_s2434"/>
    <customShpInfo spid="_x0000_s2435"/>
    <customShpInfo spid="_x0000_s2436"/>
    <customShpInfo spid="_x0000_s2437"/>
    <customShpInfo spid="_x0000_s2438"/>
    <customShpInfo spid="_x0000_s2439"/>
    <customShpInfo spid="_x0000_s2440"/>
    <customShpInfo spid="_x0000_s2441"/>
    <customShpInfo spid="_x0000_s2442"/>
    <customShpInfo spid="_x0000_s2443"/>
    <customShpInfo spid="_x0000_s2444"/>
    <customShpInfo spid="_x0000_s2445"/>
    <customShpInfo spid="_x0000_s2446"/>
    <customShpInfo spid="_x0000_s2447"/>
    <customShpInfo spid="_x0000_s2448"/>
    <customShpInfo spid="_x0000_s2449"/>
    <customShpInfo spid="_x0000_s2450"/>
    <customShpInfo spid="_x0000_s2451"/>
    <customShpInfo spid="_x0000_s2452"/>
    <customShpInfo spid="_x0000_s2453"/>
    <customShpInfo spid="_x0000_s2454"/>
    <customShpInfo spid="_x0000_s2455"/>
    <customShpInfo spid="_x0000_s2456"/>
    <customShpInfo spid="_x0000_s2457"/>
    <customShpInfo spid="_x0000_s2458"/>
    <customShpInfo spid="_x0000_s2459"/>
    <customShpInfo spid="_x0000_s2460"/>
    <customShpInfo spid="_x0000_s2461"/>
    <customShpInfo spid="_x0000_s2462"/>
    <customShpInfo spid="_x0000_s2463"/>
    <customShpInfo spid="_x0000_s2464"/>
    <customShpInfo spid="_x0000_s2465"/>
    <customShpInfo spid="_x0000_s2466"/>
    <customShpInfo spid="_x0000_s2467"/>
    <customShpInfo spid="_x0000_s2468"/>
    <customShpInfo spid="_x0000_s2469"/>
    <customShpInfo spid="_x0000_s2470"/>
    <customShpInfo spid="_x0000_s2471"/>
    <customShpInfo spid="_x0000_s2472"/>
    <customShpInfo spid="_x0000_s2473"/>
    <customShpInfo spid="_x0000_s2474"/>
    <customShpInfo spid="_x0000_s2475"/>
    <customShpInfo spid="_x0000_s2476"/>
    <customShpInfo spid="_x0000_s2477"/>
    <customShpInfo spid="_x0000_s2478"/>
    <customShpInfo spid="_x0000_s2479"/>
    <customShpInfo spid="_x0000_s2480"/>
    <customShpInfo spid="_x0000_s2481"/>
    <customShpInfo spid="_x0000_s2482"/>
    <customShpInfo spid="_x0000_s2483"/>
    <customShpInfo spid="_x0000_s2283"/>
    <customShpInfo spid="_x0000_s2484"/>
    <customShpInfo spid="_x0000_s2485"/>
    <customShpInfo spid="_x0000_s2486"/>
    <customShpInfo spid="_x0000_s2487"/>
    <customShpInfo spid="_x0000_s2488"/>
    <customShpInfo spid="_x0000_s2489"/>
    <customShpInfo spid="_x0000_s2490"/>
    <customShpInfo spid="_x0000_s2491"/>
    <customShpInfo spid="_x0000_s2492"/>
    <customShpInfo spid="_x0000_s2493"/>
    <customShpInfo spid="_x0000_s2494"/>
    <customShpInfo spid="_x0000_s2495"/>
    <customShpInfo spid="_x0000_s2496"/>
    <customShpInfo spid="_x0000_s2497"/>
    <customShpInfo spid="_x0000_s2498"/>
    <customShpInfo spid="_x0000_s2499"/>
    <customShpInfo spid="_x0000_s2500"/>
    <customShpInfo spid="_x0000_s2501"/>
    <customShpInfo spid="_x0000_s2502"/>
    <customShpInfo spid="_x0000_s2503"/>
    <customShpInfo spid="_x0000_s2504"/>
    <customShpInfo spid="_x0000_s2505"/>
    <customShpInfo spid="_x0000_s2506"/>
    <customShpInfo spid="_x0000_s2507"/>
    <customShpInfo spid="_x0000_s2508"/>
    <customShpInfo spid="_x0000_s2509"/>
    <customShpInfo spid="_x0000_s2510"/>
    <customShpInfo spid="_x0000_s2511"/>
    <customShpInfo spid="_x0000_s2512"/>
    <customShpInfo spid="_x0000_s2513"/>
    <customShpInfo spid="_x0000_s2514"/>
    <customShpInfo spid="_x0000_s2515"/>
    <customShpInfo spid="_x0000_s2516"/>
    <customShpInfo spid="_x0000_s2517"/>
    <customShpInfo spid="_x0000_s2518"/>
    <customShpInfo spid="_x0000_s2519"/>
    <customShpInfo spid="_x0000_s2520"/>
    <customShpInfo spid="_x0000_s2521"/>
    <customShpInfo spid="_x0000_s2522"/>
    <customShpInfo spid="_x0000_s2523"/>
    <customShpInfo spid="_x0000_s2524"/>
    <customShpInfo spid="_x0000_s2525"/>
    <customShpInfo spid="_x0000_s2526"/>
    <customShpInfo spid="_x0000_s2527"/>
    <customShpInfo spid="_x0000_s2528"/>
    <customShpInfo spid="_x0000_s2529"/>
    <customShpInfo spid="_x0000_s2530"/>
    <customShpInfo spid="_x0000_s2531"/>
    <customShpInfo spid="_x0000_s2532"/>
    <customShpInfo spid="_x0000_s2533"/>
    <customShpInfo spid="_x0000_s2534"/>
    <customShpInfo spid="_x0000_s2535"/>
    <customShpInfo spid="_x0000_s2536"/>
    <customShpInfo spid="_x0000_s2537"/>
    <customShpInfo spid="_x0000_s2538"/>
    <customShpInfo spid="_x0000_s2539"/>
    <customShpInfo spid="_x0000_s2540"/>
    <customShpInfo spid="_x0000_s2541"/>
    <customShpInfo spid="_x0000_s2542"/>
    <customShpInfo spid="_x0000_s2543"/>
    <customShpInfo spid="_x0000_s2544"/>
    <customShpInfo spid="_x0000_s2545"/>
    <customShpInfo spid="_x0000_s2546"/>
    <customShpInfo spid="_x0000_s2547"/>
    <customShpInfo spid="_x0000_s2548"/>
    <customShpInfo spid="_x0000_s2549"/>
    <customShpInfo spid="_x0000_s2550"/>
    <customShpInfo spid="_x0000_s2551"/>
    <customShpInfo spid="_x0000_s2552"/>
    <customShpInfo spid="_x0000_s2553"/>
    <customShpInfo spid="_x0000_s2554"/>
    <customShpInfo spid="_x0000_s2555"/>
    <customShpInfo spid="_x0000_s2556"/>
    <customShpInfo spid="_x0000_s2557"/>
    <customShpInfo spid="_x0000_s2558"/>
    <customShpInfo spid="_x0000_s2559"/>
    <customShpInfo spid="_x0000_s2560"/>
    <customShpInfo spid="_x0000_s2561"/>
    <customShpInfo spid="_x0000_s2562"/>
    <customShpInfo spid="_x0000_s2563"/>
    <customShpInfo spid="_x0000_s2564"/>
    <customShpInfo spid="_x0000_s2565"/>
    <customShpInfo spid="_x0000_s2566"/>
    <customShpInfo spid="_x0000_s2567"/>
    <customShpInfo spid="_x0000_s2568"/>
    <customShpInfo spid="_x0000_s2569"/>
    <customShpInfo spid="_x0000_s2570"/>
    <customShpInfo spid="_x0000_s2571"/>
    <customShpInfo spid="_x0000_s2572"/>
    <customShpInfo spid="_x0000_s2573"/>
    <customShpInfo spid="_x0000_s2574"/>
    <customShpInfo spid="_x0000_s2575"/>
    <customShpInfo spid="_x0000_s2576"/>
    <customShpInfo spid="_x0000_s2577"/>
    <customShpInfo spid="_x0000_s2578"/>
    <customShpInfo spid="_x0000_s2579"/>
    <customShpInfo spid="_x0000_s2580"/>
    <customShpInfo spid="_x0000_s2581"/>
    <customShpInfo spid="_x0000_s2582"/>
    <customShpInfo spid="_x0000_s2583"/>
    <customShpInfo spid="_x0000_s2584"/>
    <customShpInfo spid="_x0000_s2585"/>
    <customShpInfo spid="_x0000_s2587"/>
    <customShpInfo spid="_x0000_s2589"/>
    <customShpInfo spid="_x0000_s2590"/>
    <customShpInfo spid="_x0000_s2588"/>
    <customShpInfo spid="_x0000_s2586"/>
    <customShpInfo spid="_x0000_s2591"/>
    <customShpInfo spid="_x0000_s2592"/>
    <customShpInfo spid="_x0000_s2085"/>
    <customShpInfo spid="_x0000_s2594"/>
    <customShpInfo spid="_x0000_s2595"/>
    <customShpInfo spid="_x0000_s2593"/>
    <customShpInfo spid="_x0000_s2596"/>
    <customShpInfo spid="_x0000_s2597"/>
    <customShpInfo spid="_x0000_s2598"/>
    <customShpInfo spid="_x0000_s2599"/>
    <customShpInfo spid="_x0000_s2600"/>
    <customShpInfo spid="_x0000_s2601"/>
    <customShpInfo spid="_x0000_s2602"/>
    <customShpInfo spid="_x0000_s2603"/>
    <customShpInfo spid="_x0000_s2604"/>
    <customShpInfo spid="_x0000_s2605"/>
    <customShpInfo spid="_x0000_s2606"/>
    <customShpInfo spid="_x0000_s2607"/>
    <customShpInfo spid="_x0000_s2608"/>
    <customShpInfo spid="_x0000_s2609"/>
    <customShpInfo spid="_x0000_s2610"/>
    <customShpInfo spid="_x0000_s2611"/>
    <customShpInfo spid="_x0000_s2612"/>
    <customShpInfo spid="_x0000_s2613"/>
    <customShpInfo spid="_x0000_s2614"/>
    <customShpInfo spid="_x0000_s2615"/>
    <customShpInfo spid="_x0000_s2616"/>
    <customShpInfo spid="_x0000_s2617"/>
    <customShpInfo spid="_x0000_s2618"/>
    <customShpInfo spid="_x0000_s2619"/>
    <customShpInfo spid="_x0000_s2620"/>
    <customShpInfo spid="_x0000_s2621"/>
    <customShpInfo spid="_x0000_s2622"/>
    <customShpInfo spid="_x0000_s2623"/>
    <customShpInfo spid="_x0000_s2624"/>
    <customShpInfo spid="_x0000_s2625"/>
    <customShpInfo spid="_x0000_s2626"/>
    <customShpInfo spid="_x0000_s2627"/>
    <customShpInfo spid="_x0000_s2628"/>
    <customShpInfo spid="_x0000_s2629"/>
    <customShpInfo spid="_x0000_s2630"/>
    <customShpInfo spid="_x0000_s2631"/>
    <customShpInfo spid="_x0000_s2632"/>
    <customShpInfo spid="_x0000_s2633"/>
    <customShpInfo spid="_x0000_s2634"/>
    <customShpInfo spid="_x0000_s2635"/>
    <customShpInfo spid="_x0000_s2636"/>
    <customShpInfo spid="_x0000_s2637"/>
    <customShpInfo spid="_x0000_s2639"/>
    <customShpInfo spid="_x0000_s2640"/>
    <customShpInfo spid="_x0000_s2645"/>
    <customShpInfo spid="_x0000_s2646"/>
    <customShpInfo spid="_x0000_s2647"/>
    <customShpInfo spid="_x0000_s2648"/>
    <customShpInfo spid="_x0000_s2649"/>
    <customShpInfo spid="_x0000_s2651"/>
    <customShpInfo spid="_x0000_s2650"/>
    <customShpInfo spid="_x0000_s2652"/>
    <customShpInfo spid="_x0000_s26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48</Pages>
  <Words>16040</Words>
  <Characters>6695</Characters>
  <Lines>55</Lines>
  <Paragraphs>45</Paragraphs>
  <TotalTime>1</TotalTime>
  <ScaleCrop>false</ScaleCrop>
  <LinksUpToDate>false</LinksUpToDate>
  <CharactersWithSpaces>0</CharactersWithSpaces>
  <Application>WPS Office_11.1.0.7989_F1E327BC-269C-435d-A152-05C5408002CA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2018-04-27T05:22:00Z</dcterms:created>
  <dc:creator>绿是森林的绿</dc:creator>
  <cp:lastModifiedBy>Administrator</cp:lastModifiedBy>
  <dcterms:modified xsi:type="dcterms:W3CDTF">2018-11-28T08:19:44Z</dcterms:modified>
  <dc:title>废水处理及中水回用系统扩能改造项目</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2052-11.1.0.7989</vt:lpwstr>
  </property>
</Properties>
</file>